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line="240" w:lineRule="auto"/>
        <w:ind w:firstLine="0" w:firstLineChars="0"/>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151" w:name="_GoBack"/>
      <w:bookmarkEnd w:id="151"/>
    </w:p>
    <w:p>
      <w:pPr>
        <w:adjustRightInd/>
        <w:snapToGrid/>
        <w:spacing w:line="240" w:lineRule="auto"/>
        <w:ind w:firstLine="0" w:firstLineChars="0"/>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adjustRightInd/>
        <w:snapToGrid/>
        <w:spacing w:line="240" w:lineRule="auto"/>
        <w:ind w:firstLine="0" w:firstLineChars="0"/>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adjustRightInd/>
        <w:snapToGrid/>
        <w:spacing w:line="240" w:lineRule="auto"/>
        <w:ind w:firstLine="0" w:firstLineChars="0"/>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adjustRightInd/>
        <w:snapToGrid/>
        <w:spacing w:line="240" w:lineRule="auto"/>
        <w:ind w:firstLine="0" w:firstLineChars="0"/>
        <w:jc w:val="center"/>
        <w:rPr>
          <w:rFonts w:hint="default" w:ascii="Times New Roman" w:hAnsi="Times New Roman" w:eastAsia="方正小标宋简体" w:cs="Times New Roman"/>
          <w:color w:val="000000" w:themeColor="text1"/>
          <w:sz w:val="52"/>
          <w:szCs w:val="52"/>
          <w14:textFill>
            <w14:solidFill>
              <w14:schemeClr w14:val="tx1"/>
            </w14:solidFill>
          </w14:textFill>
        </w:rPr>
      </w:pPr>
      <w:r>
        <w:rPr>
          <w:rFonts w:hint="default" w:ascii="Times New Roman" w:hAnsi="Times New Roman" w:eastAsia="方正小标宋简体" w:cs="Times New Roman"/>
          <w:color w:val="000000" w:themeColor="text1"/>
          <w:sz w:val="52"/>
          <w:szCs w:val="52"/>
          <w:lang w:val="en-US" w:eastAsia="zh-CN"/>
          <w14:textFill>
            <w14:solidFill>
              <w14:schemeClr w14:val="tx1"/>
            </w14:solidFill>
          </w14:textFill>
        </w:rPr>
        <w:t>潘集</w:t>
      </w:r>
      <w:r>
        <w:rPr>
          <w:rFonts w:hint="default" w:ascii="Times New Roman" w:hAnsi="Times New Roman" w:eastAsia="方正小标宋简体" w:cs="Times New Roman"/>
          <w:color w:val="000000" w:themeColor="text1"/>
          <w:sz w:val="52"/>
          <w:szCs w:val="52"/>
          <w14:textFill>
            <w14:solidFill>
              <w14:schemeClr w14:val="tx1"/>
            </w14:solidFill>
          </w14:textFill>
        </w:rPr>
        <w:t>区国民经济和社会发展第十五个五年规划纲要</w:t>
      </w:r>
    </w:p>
    <w:p>
      <w:pPr>
        <w:adjustRightInd/>
        <w:snapToGrid/>
        <w:spacing w:line="240" w:lineRule="auto"/>
        <w:ind w:firstLine="0" w:firstLineChars="0"/>
        <w:jc w:val="center"/>
        <w:rPr>
          <w:rFonts w:hint="default" w:ascii="Times New Roman" w:hAnsi="Times New Roman" w:eastAsia="方正小标宋简体" w:cs="Times New Roman"/>
          <w:sz w:val="40"/>
          <w:szCs w:val="40"/>
        </w:rPr>
      </w:pPr>
      <w:r>
        <w:rPr>
          <w:rFonts w:hint="default" w:ascii="Times New Roman" w:hAnsi="Times New Roman" w:eastAsia="方正小标宋简体" w:cs="Times New Roman"/>
          <w:sz w:val="52"/>
          <w:szCs w:val="52"/>
        </w:rPr>
        <w:t>（</w:t>
      </w:r>
      <w:r>
        <w:rPr>
          <w:rFonts w:hint="default" w:ascii="Times New Roman" w:hAnsi="Times New Roman" w:eastAsia="方正小标宋简体" w:cs="Times New Roman"/>
          <w:sz w:val="52"/>
          <w:szCs w:val="52"/>
          <w:lang w:val="en-US" w:eastAsia="zh-CN"/>
        </w:rPr>
        <w:t>初稿</w:t>
      </w:r>
      <w:r>
        <w:rPr>
          <w:rFonts w:hint="default" w:ascii="Times New Roman" w:hAnsi="Times New Roman" w:eastAsia="方正小标宋简体" w:cs="Times New Roman"/>
          <w:sz w:val="52"/>
          <w:szCs w:val="52"/>
        </w:rPr>
        <w:t>）</w:t>
      </w:r>
    </w:p>
    <w:p>
      <w:pPr>
        <w:bidi w:val="0"/>
        <w:rPr>
          <w:rFonts w:hint="default"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sectPr>
          <w:pgSz w:w="11906" w:h="16838"/>
          <w:pgMar w:top="1440" w:right="1800" w:bottom="1440" w:left="1800" w:header="851" w:footer="992" w:gutter="0"/>
          <w:pgNumType w:fmt="decimal"/>
          <w:cols w:space="425" w:num="1"/>
          <w:docGrid w:type="lines" w:linePitch="312" w:charSpace="0"/>
        </w:sectPr>
      </w:pPr>
      <w:bookmarkStart w:id="0" w:name="_Toc29871"/>
      <w:bookmarkStart w:id="1" w:name="_Toc16288"/>
      <w:bookmarkStart w:id="2" w:name="_Toc5809"/>
      <w:bookmarkStart w:id="3" w:name="_Toc12231"/>
      <w:r>
        <w:rPr>
          <w:rFonts w:hint="default" w:ascii="Times New Roman" w:hAnsi="Times New Roman" w:eastAsia="楷体_GB2312" w:cs="Times New Roman"/>
          <w:sz w:val="36"/>
          <w:szCs w:val="36"/>
        </w:rPr>
        <w:t>2025年</w:t>
      </w:r>
      <w:r>
        <w:rPr>
          <w:rFonts w:hint="default" w:ascii="Times New Roman" w:hAnsi="Times New Roman" w:eastAsia="楷体_GB2312" w:cs="Times New Roman"/>
          <w:sz w:val="36"/>
          <w:szCs w:val="36"/>
          <w:lang w:val="en-US" w:eastAsia="zh-CN"/>
        </w:rPr>
        <w:t>8</w:t>
      </w:r>
      <w:r>
        <w:rPr>
          <w:rFonts w:hint="default" w:ascii="Times New Roman" w:hAnsi="Times New Roman" w:eastAsia="楷体_GB2312" w:cs="Times New Roman"/>
          <w:sz w:val="36"/>
          <w:szCs w:val="36"/>
        </w:rPr>
        <w:t>月</w:t>
      </w:r>
      <w:bookmarkEnd w:id="0"/>
      <w:bookmarkEnd w:id="1"/>
      <w:bookmarkEnd w:id="2"/>
      <w:bookmarkEnd w:id="3"/>
    </w:p>
    <w:sdt>
      <w:sdtPr>
        <w:rPr>
          <w:rFonts w:ascii="Times New Roman" w:hAnsi="Times New Roman" w:eastAsia="宋体" w:cs="Times New Roman"/>
          <w:kern w:val="2"/>
          <w:sz w:val="21"/>
          <w:szCs w:val="24"/>
          <w:lang w:val="en-US" w:eastAsia="zh-CN" w:bidi="ar-SA"/>
        </w:rPr>
        <w:id w:val="147470376"/>
        <w15:color w:val="DBDBDB"/>
        <w:docPartObj>
          <w:docPartGallery w:val="Table of Contents"/>
          <w:docPartUnique/>
        </w:docPartObj>
      </w:sdtPr>
      <w:sdtEndPr>
        <w:rPr>
          <w:rFonts w:hint="default" w:ascii="Times New Roman" w:hAnsi="Times New Roman" w:eastAsia="方正小标宋简体" w:cs="Times New Roman"/>
          <w:kern w:val="44"/>
          <w:sz w:val="32"/>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目</w:t>
          </w:r>
          <w:r>
            <w:rPr>
              <w:rFonts w:hint="default" w:ascii="Times New Roman" w:hAnsi="Times New Roman" w:eastAsia="黑体" w:cs="Times New Roman"/>
              <w:sz w:val="36"/>
              <w:szCs w:val="36"/>
              <w:lang w:val="en-US" w:eastAsia="zh-CN"/>
            </w:rPr>
            <w:t xml:space="preserve">  </w:t>
          </w:r>
          <w:r>
            <w:rPr>
              <w:rFonts w:hint="default" w:ascii="Times New Roman" w:hAnsi="Times New Roman" w:eastAsia="黑体" w:cs="Times New Roman"/>
              <w:sz w:val="36"/>
              <w:szCs w:val="36"/>
            </w:rPr>
            <w:t>录</w:t>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黑体" w:cs="Times New Roman"/>
            </w:rPr>
          </w:pPr>
          <w:r>
            <w:rPr>
              <w:rFonts w:hint="default" w:ascii="Times New Roman" w:hAnsi="Times New Roman" w:eastAsia="方正小标宋简体" w:cs="Times New Roman"/>
              <w:highlight w:val="none"/>
              <w:lang w:val="en-US" w:eastAsia="zh-CN"/>
            </w:rPr>
            <w:fldChar w:fldCharType="begin"/>
          </w:r>
          <w:r>
            <w:rPr>
              <w:rFonts w:hint="default" w:ascii="Times New Roman" w:hAnsi="Times New Roman" w:eastAsia="方正小标宋简体" w:cs="Times New Roman"/>
              <w:highlight w:val="none"/>
              <w:lang w:val="en-US" w:eastAsia="zh-CN"/>
            </w:rPr>
            <w:instrText xml:space="preserve">TOC \o "1-2" \h \u </w:instrText>
          </w:r>
          <w:r>
            <w:rPr>
              <w:rFonts w:hint="default" w:ascii="Times New Roman" w:hAnsi="Times New Roman" w:eastAsia="方正小标宋简体" w:cs="Times New Roman"/>
              <w:highlight w:val="none"/>
              <w:lang w:val="en-US" w:eastAsia="zh-CN"/>
            </w:rPr>
            <w:fldChar w:fldCharType="separate"/>
          </w:r>
          <w:r>
            <w:rPr>
              <w:rFonts w:hint="default" w:ascii="Times New Roman" w:hAnsi="Times New Roman" w:eastAsia="黑体" w:cs="Times New Roman"/>
              <w:highlight w:val="none"/>
              <w:lang w:val="en-US" w:eastAsia="zh-CN"/>
            </w:rPr>
            <w:fldChar w:fldCharType="begin"/>
          </w:r>
          <w:r>
            <w:rPr>
              <w:rFonts w:hint="default" w:ascii="Times New Roman" w:hAnsi="Times New Roman" w:eastAsia="黑体" w:cs="Times New Roman"/>
              <w:highlight w:val="none"/>
              <w:lang w:val="en-US" w:eastAsia="zh-CN"/>
            </w:rPr>
            <w:instrText xml:space="preserve"> HYPERLINK \l _Toc20234 </w:instrText>
          </w:r>
          <w:r>
            <w:rPr>
              <w:rFonts w:hint="default" w:ascii="Times New Roman" w:hAnsi="Times New Roman" w:eastAsia="黑体" w:cs="Times New Roman"/>
              <w:highlight w:val="none"/>
              <w:lang w:val="en-US" w:eastAsia="zh-CN"/>
            </w:rPr>
            <w:fldChar w:fldCharType="separate"/>
          </w:r>
          <w:r>
            <w:rPr>
              <w:rFonts w:hint="default" w:ascii="Times New Roman" w:hAnsi="Times New Roman" w:eastAsia="黑体" w:cs="Times New Roman"/>
              <w:szCs w:val="32"/>
              <w:highlight w:val="none"/>
              <w:lang w:val="en-US" w:eastAsia="zh-CN"/>
            </w:rPr>
            <w:t>前  言</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_Toc20234 \h </w:instrText>
          </w:r>
          <w:r>
            <w:rPr>
              <w:rFonts w:hint="default" w:ascii="Times New Roman" w:hAnsi="Times New Roman" w:eastAsia="黑体" w:cs="Times New Roman"/>
            </w:rPr>
            <w:fldChar w:fldCharType="separate"/>
          </w:r>
          <w:r>
            <w:rPr>
              <w:rFonts w:hint="default" w:ascii="Times New Roman" w:hAnsi="Times New Roman" w:eastAsia="黑体" w:cs="Times New Roman"/>
            </w:rPr>
            <w:t>1</w:t>
          </w:r>
          <w:r>
            <w:rPr>
              <w:rFonts w:hint="default" w:ascii="Times New Roman" w:hAnsi="Times New Roman" w:eastAsia="黑体" w:cs="Times New Roman"/>
            </w:rPr>
            <w:fldChar w:fldCharType="end"/>
          </w:r>
          <w:r>
            <w:rPr>
              <w:rFonts w:hint="default" w:ascii="Times New Roman" w:hAnsi="Times New Roman" w:eastAsia="黑体" w:cs="Times New Roman"/>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黑体" w:cs="Times New Roman"/>
              <w:highlight w:val="none"/>
              <w:lang w:val="en-US" w:eastAsia="zh-CN"/>
            </w:rPr>
            <w:fldChar w:fldCharType="begin"/>
          </w:r>
          <w:r>
            <w:rPr>
              <w:rFonts w:hint="default" w:ascii="Times New Roman" w:hAnsi="Times New Roman" w:eastAsia="黑体" w:cs="Times New Roman"/>
              <w:highlight w:val="none"/>
              <w:lang w:val="en-US" w:eastAsia="zh-CN"/>
            </w:rPr>
            <w:instrText xml:space="preserve"> HYPERLINK \l _Toc22506 </w:instrText>
          </w:r>
          <w:r>
            <w:rPr>
              <w:rFonts w:hint="default" w:ascii="Times New Roman" w:hAnsi="Times New Roman" w:eastAsia="黑体" w:cs="Times New Roman"/>
              <w:highlight w:val="none"/>
              <w:lang w:val="en-US" w:eastAsia="zh-CN"/>
            </w:rPr>
            <w:fldChar w:fldCharType="separate"/>
          </w:r>
          <w:r>
            <w:rPr>
              <w:rFonts w:hint="default" w:ascii="Times New Roman" w:hAnsi="Times New Roman" w:eastAsia="黑体" w:cs="Times New Roman"/>
              <w:highlight w:val="none"/>
              <w:lang w:val="en-US" w:eastAsia="zh-CN"/>
            </w:rPr>
            <w:t>第一章 把握新阶段，资源型城市转型发展再创辉煌</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_Toc22506 \h </w:instrText>
          </w:r>
          <w:r>
            <w:rPr>
              <w:rFonts w:hint="default" w:ascii="Times New Roman" w:hAnsi="Times New Roman" w:eastAsia="黑体" w:cs="Times New Roman"/>
            </w:rPr>
            <w:fldChar w:fldCharType="separate"/>
          </w:r>
          <w:r>
            <w:rPr>
              <w:rFonts w:hint="default" w:ascii="Times New Roman" w:hAnsi="Times New Roman" w:eastAsia="黑体" w:cs="Times New Roman"/>
            </w:rPr>
            <w:t>2</w:t>
          </w:r>
          <w:r>
            <w:rPr>
              <w:rFonts w:hint="default" w:ascii="Times New Roman" w:hAnsi="Times New Roman" w:eastAsia="黑体" w:cs="Times New Roman"/>
            </w:rPr>
            <w:fldChar w:fldCharType="end"/>
          </w:r>
          <w:r>
            <w:rPr>
              <w:rFonts w:hint="default" w:ascii="Times New Roman" w:hAnsi="Times New Roman" w:eastAsia="黑体"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_Toc15873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bCs/>
              <w:lang w:val="en-US" w:eastAsia="zh-CN"/>
            </w:rPr>
            <w:t>第一节 “十四五”发展成就</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_Toc15873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2</w:t>
          </w:r>
          <w:r>
            <w:rPr>
              <w:rFonts w:hint="default" w:ascii="Times New Roman" w:hAnsi="Times New Roman" w:eastAsia="楷体_GB2312" w:cs="Times New Roma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_Toc23685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bCs/>
              <w:lang w:val="en-US" w:eastAsia="zh-CN"/>
            </w:rPr>
            <w:t>第二节 “十五五”发展环境</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_Toc23685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8</w:t>
          </w:r>
          <w:r>
            <w:rPr>
              <w:rFonts w:hint="default" w:ascii="Times New Roman" w:hAnsi="Times New Roman" w:eastAsia="楷体_GB2312" w:cs="Times New Roman"/>
            </w:rPr>
            <w:fldChar w:fldCharType="end"/>
          </w:r>
          <w:r>
            <w:rPr>
              <w:rFonts w:hint="default" w:ascii="Times New Roman" w:hAnsi="Times New Roman" w:eastAsia="楷体_GB2312" w:cs="Times New Roman"/>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方正小标宋简体" w:cs="Times New Roman"/>
              <w:highlight w:val="none"/>
              <w:lang w:val="en-US" w:eastAsia="zh-CN"/>
            </w:rPr>
            <w:fldChar w:fldCharType="begin"/>
          </w:r>
          <w:r>
            <w:rPr>
              <w:rFonts w:hint="default" w:ascii="Times New Roman" w:hAnsi="Times New Roman" w:eastAsia="方正小标宋简体" w:cs="Times New Roman"/>
              <w:highlight w:val="none"/>
              <w:lang w:val="en-US" w:eastAsia="zh-CN"/>
            </w:rPr>
            <w:instrText xml:space="preserve"> HYPERLINK \l _Toc21968 </w:instrText>
          </w:r>
          <w:r>
            <w:rPr>
              <w:rFonts w:hint="default" w:ascii="Times New Roman" w:hAnsi="Times New Roman" w:eastAsia="方正小标宋简体" w:cs="Times New Roman"/>
              <w:highlight w:val="none"/>
              <w:lang w:val="en-US" w:eastAsia="zh-CN"/>
            </w:rPr>
            <w:fldChar w:fldCharType="separate"/>
          </w:r>
          <w:r>
            <w:rPr>
              <w:rFonts w:hint="default" w:ascii="Times New Roman" w:hAnsi="Times New Roman" w:eastAsia="黑体" w:cs="Times New Roman"/>
              <w:highlight w:val="none"/>
              <w:lang w:val="en-US" w:eastAsia="zh-CN"/>
            </w:rPr>
            <w:t>第二章 明确新方位，建设社会主义现代化美好潘集总体思路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_Toc21968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eastAsia="方正小标宋简体"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_Toc21975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第一节 指导思想</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_Toc21975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14</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_Toc4793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第二节 基本原则</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_Toc4793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14</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_Toc25375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第三节 战略定位</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_Toc25375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16</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_Toc25337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第四节 空间布局</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_Toc25337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18</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_Toc15798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第五节 发展目标</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_Toc15798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20</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方正小标宋简体" w:cs="Times New Roman"/>
              <w:highlight w:val="none"/>
              <w:lang w:val="en-US" w:eastAsia="zh-CN"/>
            </w:rPr>
            <w:fldChar w:fldCharType="begin"/>
          </w:r>
          <w:r>
            <w:rPr>
              <w:rFonts w:hint="default" w:ascii="Times New Roman" w:hAnsi="Times New Roman" w:eastAsia="方正小标宋简体" w:cs="Times New Roman"/>
              <w:highlight w:val="none"/>
              <w:lang w:val="en-US" w:eastAsia="zh-CN"/>
            </w:rPr>
            <w:instrText xml:space="preserve"> HYPERLINK \l _Toc22097 </w:instrText>
          </w:r>
          <w:r>
            <w:rPr>
              <w:rFonts w:hint="default" w:ascii="Times New Roman" w:hAnsi="Times New Roman" w:eastAsia="方正小标宋简体" w:cs="Times New Roman"/>
              <w:highlight w:val="none"/>
              <w:lang w:val="en-US" w:eastAsia="zh-CN"/>
            </w:rPr>
            <w:fldChar w:fldCharType="separate"/>
          </w:r>
          <w:r>
            <w:rPr>
              <w:rFonts w:hint="default" w:ascii="Times New Roman" w:hAnsi="Times New Roman" w:eastAsia="黑体" w:cs="Times New Roman"/>
              <w:highlight w:val="none"/>
              <w:lang w:val="en-US" w:eastAsia="zh-CN"/>
            </w:rPr>
            <w:t>第三章 锚定“能源新都”，构建“1+4+N”现代化产业体系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_Toc22097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eastAsia="方正小标宋简体"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_Toc11003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第一节 推进煤电产业加快转型</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_Toc11003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25</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_Toc18108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第二节 壮大四个战略性新兴产业</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_Toc18108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26</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_Toc1711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第三节 前瞻布局未来产业</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_Toc1711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29</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_Toc11231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第四节 积极发展现代服务业</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_Toc11231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30</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_Toc28967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第五节 提升园区产业承载力</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_Toc28967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33</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highlight w:val="none"/>
              <w:lang w:val="en-US" w:eastAsia="zh-CN"/>
            </w:rPr>
            <w:fldChar w:fldCharType="begin"/>
          </w:r>
          <w:r>
            <w:rPr>
              <w:rFonts w:hint="default" w:ascii="Times New Roman" w:hAnsi="Times New Roman" w:eastAsia="黑体" w:cs="Times New Roman"/>
              <w:highlight w:val="none"/>
              <w:lang w:val="en-US" w:eastAsia="zh-CN"/>
            </w:rPr>
            <w:instrText xml:space="preserve"> HYPERLINK \l _Toc5881 </w:instrText>
          </w:r>
          <w:r>
            <w:rPr>
              <w:rFonts w:hint="default" w:ascii="Times New Roman" w:hAnsi="Times New Roman" w:eastAsia="黑体" w:cs="Times New Roman"/>
              <w:highlight w:val="none"/>
              <w:lang w:val="en-US" w:eastAsia="zh-CN"/>
            </w:rPr>
            <w:fldChar w:fldCharType="separate"/>
          </w:r>
          <w:r>
            <w:rPr>
              <w:rFonts w:hint="default" w:ascii="Times New Roman" w:hAnsi="Times New Roman" w:eastAsia="黑体" w:cs="Times New Roman"/>
              <w:highlight w:val="none"/>
              <w:lang w:val="en-US" w:eastAsia="zh-CN"/>
            </w:rPr>
            <w:t>第四章 实施创新驱动战略，培育壮大新质生产力</w:t>
          </w:r>
          <w:r>
            <w:rPr>
              <w:rFonts w:hint="default" w:ascii="Times New Roman" w:hAnsi="Times New Roman" w:eastAsia="黑体" w:cs="Times New Roman"/>
              <w:highlight w:val="none"/>
              <w:lang w:val="en-US" w:eastAsia="zh-CN"/>
            </w:rPr>
            <w:tab/>
          </w:r>
          <w:r>
            <w:rPr>
              <w:rFonts w:hint="default" w:ascii="Times New Roman" w:hAnsi="Times New Roman" w:eastAsia="黑体" w:cs="Times New Roman"/>
              <w:highlight w:val="none"/>
              <w:lang w:val="en-US" w:eastAsia="zh-CN"/>
            </w:rPr>
            <w:fldChar w:fldCharType="begin"/>
          </w:r>
          <w:r>
            <w:rPr>
              <w:rFonts w:hint="default" w:ascii="Times New Roman" w:hAnsi="Times New Roman" w:eastAsia="黑体" w:cs="Times New Roman"/>
              <w:highlight w:val="none"/>
              <w:lang w:val="en-US" w:eastAsia="zh-CN"/>
            </w:rPr>
            <w:instrText xml:space="preserve"> PAGEREF _Toc5881 \h </w:instrText>
          </w:r>
          <w:r>
            <w:rPr>
              <w:rFonts w:hint="default" w:ascii="Times New Roman" w:hAnsi="Times New Roman" w:eastAsia="黑体" w:cs="Times New Roman"/>
              <w:highlight w:val="none"/>
              <w:lang w:val="en-US" w:eastAsia="zh-CN"/>
            </w:rPr>
            <w:fldChar w:fldCharType="separate"/>
          </w:r>
          <w:r>
            <w:rPr>
              <w:rFonts w:hint="default" w:ascii="Times New Roman" w:hAnsi="Times New Roman" w:eastAsia="黑体" w:cs="Times New Roman"/>
              <w:highlight w:val="none"/>
              <w:lang w:val="en-US" w:eastAsia="zh-CN"/>
            </w:rPr>
            <w:t>36</w:t>
          </w:r>
          <w:r>
            <w:rPr>
              <w:rFonts w:hint="default" w:ascii="Times New Roman" w:hAnsi="Times New Roman" w:eastAsia="黑体" w:cs="Times New Roman"/>
              <w:highlight w:val="none"/>
              <w:lang w:val="en-US" w:eastAsia="zh-CN"/>
            </w:rPr>
            <w:fldChar w:fldCharType="end"/>
          </w:r>
          <w:r>
            <w:rPr>
              <w:rFonts w:hint="default" w:ascii="Times New Roman" w:hAnsi="Times New Roman" w:eastAsia="黑体"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_Toc18419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第一节 强化企业创新主体地位</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_Toc18419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36</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_Toc865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第二节 构筑高能级创新平台</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_Toc865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37</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_Toc1269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第三节 推动科技成果转移转化</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_Toc1269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38</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_Toc18381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第四节 推进高水平人才队伍建设</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_Toc18381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39</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方正小标宋简体" w:cs="Times New Roman"/>
              <w:highlight w:val="none"/>
              <w:lang w:val="en-US" w:eastAsia="zh-CN"/>
            </w:rPr>
            <w:fldChar w:fldCharType="begin"/>
          </w:r>
          <w:r>
            <w:rPr>
              <w:rFonts w:hint="default" w:ascii="Times New Roman" w:hAnsi="Times New Roman" w:eastAsia="方正小标宋简体" w:cs="Times New Roman"/>
              <w:highlight w:val="none"/>
              <w:lang w:val="en-US" w:eastAsia="zh-CN"/>
            </w:rPr>
            <w:instrText xml:space="preserve"> HYPERLINK \l _Toc16125 </w:instrText>
          </w:r>
          <w:r>
            <w:rPr>
              <w:rFonts w:hint="default" w:ascii="Times New Roman" w:hAnsi="Times New Roman" w:eastAsia="方正小标宋简体" w:cs="Times New Roman"/>
              <w:highlight w:val="none"/>
              <w:lang w:val="en-US" w:eastAsia="zh-CN"/>
            </w:rPr>
            <w:fldChar w:fldCharType="separate"/>
          </w:r>
          <w:r>
            <w:rPr>
              <w:rFonts w:hint="default" w:ascii="Times New Roman" w:hAnsi="Times New Roman" w:eastAsia="黑体" w:cs="Times New Roman"/>
              <w:highlight w:val="none"/>
              <w:lang w:val="en-US" w:eastAsia="zh-CN"/>
            </w:rPr>
            <w:t>第五章 进一步扩大内需，激活经济增长新动能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_Toc16125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eastAsia="方正小标宋简体"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_Toc5879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第一节 持续扩大投资</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_Toc5879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41</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_Toc8284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第二节 大力提振消费</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_Toc8284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42</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方正小标宋简体" w:cs="Times New Roman"/>
              <w:highlight w:val="none"/>
              <w:lang w:val="en-US" w:eastAsia="zh-CN"/>
            </w:rPr>
            <w:fldChar w:fldCharType="begin"/>
          </w:r>
          <w:r>
            <w:rPr>
              <w:rFonts w:hint="default" w:ascii="Times New Roman" w:hAnsi="Times New Roman" w:eastAsia="方正小标宋简体" w:cs="Times New Roman"/>
              <w:highlight w:val="none"/>
              <w:lang w:val="en-US" w:eastAsia="zh-CN"/>
            </w:rPr>
            <w:instrText xml:space="preserve"> HYPERLINK \l _Toc12899 </w:instrText>
          </w:r>
          <w:r>
            <w:rPr>
              <w:rFonts w:hint="default" w:ascii="Times New Roman" w:hAnsi="Times New Roman" w:eastAsia="方正小标宋简体" w:cs="Times New Roman"/>
              <w:highlight w:val="none"/>
              <w:lang w:val="en-US" w:eastAsia="zh-CN"/>
            </w:rPr>
            <w:fldChar w:fldCharType="separate"/>
          </w:r>
          <w:r>
            <w:rPr>
              <w:rFonts w:hint="default" w:ascii="Times New Roman" w:hAnsi="Times New Roman" w:eastAsia="黑体" w:cs="Times New Roman"/>
              <w:highlight w:val="none"/>
              <w:lang w:val="en-US" w:eastAsia="zh-CN"/>
            </w:rPr>
            <w:t>第六章 推进内涵式发展，打造活力迸发淮南北部新城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_Toc12899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eastAsia="方正小标宋简体"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_Toc2840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第一节 构建“11362”城镇村空间布局</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_Toc2840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45</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_Toc18511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第二节 增强城市功能品质活力</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_Toc18511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46</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_Toc8092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第三节 提升城市精细化管理水平</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_Toc8092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50</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_Toc32269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第四节 推进城乡一体化融合发展</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_Toc32269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52</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方正小标宋简体" w:cs="Times New Roman"/>
              <w:highlight w:val="none"/>
              <w:lang w:val="en-US" w:eastAsia="zh-CN"/>
            </w:rPr>
            <w:fldChar w:fldCharType="begin"/>
          </w:r>
          <w:r>
            <w:rPr>
              <w:rFonts w:hint="default" w:ascii="Times New Roman" w:hAnsi="Times New Roman" w:eastAsia="方正小标宋简体" w:cs="Times New Roman"/>
              <w:highlight w:val="none"/>
              <w:lang w:val="en-US" w:eastAsia="zh-CN"/>
            </w:rPr>
            <w:instrText xml:space="preserve"> HYPERLINK \l _Toc16929 </w:instrText>
          </w:r>
          <w:r>
            <w:rPr>
              <w:rFonts w:hint="default" w:ascii="Times New Roman" w:hAnsi="Times New Roman" w:eastAsia="方正小标宋简体" w:cs="Times New Roman"/>
              <w:highlight w:val="none"/>
              <w:lang w:val="en-US" w:eastAsia="zh-CN"/>
            </w:rPr>
            <w:fldChar w:fldCharType="separate"/>
          </w:r>
          <w:r>
            <w:rPr>
              <w:rFonts w:hint="default" w:ascii="Times New Roman" w:hAnsi="Times New Roman" w:eastAsia="黑体" w:cs="Times New Roman"/>
              <w:highlight w:val="none"/>
              <w:lang w:val="en-US" w:eastAsia="zh-CN"/>
            </w:rPr>
            <w:t>第七章 深耕“土特产”文章，开创乡村全面振兴新局面</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_Toc16929 \h </w:instrText>
          </w:r>
          <w:r>
            <w:rPr>
              <w:rFonts w:hint="default" w:ascii="Times New Roman" w:hAnsi="Times New Roman" w:cs="Times New Roman"/>
            </w:rPr>
            <w:fldChar w:fldCharType="separate"/>
          </w:r>
          <w:r>
            <w:rPr>
              <w:rFonts w:hint="default" w:ascii="Times New Roman" w:hAnsi="Times New Roman" w:cs="Times New Roman"/>
            </w:rPr>
            <w:t>59</w:t>
          </w:r>
          <w:r>
            <w:rPr>
              <w:rFonts w:hint="default" w:ascii="Times New Roman" w:hAnsi="Times New Roman" w:cs="Times New Roman"/>
            </w:rPr>
            <w:fldChar w:fldCharType="end"/>
          </w:r>
          <w:r>
            <w:rPr>
              <w:rFonts w:hint="default" w:ascii="Times New Roman" w:hAnsi="Times New Roman" w:eastAsia="方正小标宋简体"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_Toc29280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第一节 保障粮食生产能力</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_Toc29280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59</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_Toc23585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第二节 构建现代农业产业体系</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_Toc23585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59</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_Toc8083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第三节 加快建设新时代和美乡村</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_Toc8083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63</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_Toc17038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第四节 持续深化农村综合改革</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_Toc17038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66</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方正小标宋简体" w:cs="Times New Roman"/>
              <w:highlight w:val="none"/>
              <w:lang w:val="en-US" w:eastAsia="zh-CN"/>
            </w:rPr>
            <w:fldChar w:fldCharType="begin"/>
          </w:r>
          <w:r>
            <w:rPr>
              <w:rFonts w:hint="default" w:ascii="Times New Roman" w:hAnsi="Times New Roman" w:eastAsia="方正小标宋简体" w:cs="Times New Roman"/>
              <w:highlight w:val="none"/>
              <w:lang w:val="en-US" w:eastAsia="zh-CN"/>
            </w:rPr>
            <w:instrText xml:space="preserve"> HYPERLINK \l _Toc859 </w:instrText>
          </w:r>
          <w:r>
            <w:rPr>
              <w:rFonts w:hint="default" w:ascii="Times New Roman" w:hAnsi="Times New Roman" w:eastAsia="方正小标宋简体" w:cs="Times New Roman"/>
              <w:highlight w:val="none"/>
              <w:lang w:val="en-US" w:eastAsia="zh-CN"/>
            </w:rPr>
            <w:fldChar w:fldCharType="separate"/>
          </w:r>
          <w:r>
            <w:rPr>
              <w:rFonts w:hint="default" w:ascii="Times New Roman" w:hAnsi="Times New Roman" w:eastAsia="黑体" w:cs="Times New Roman"/>
              <w:highlight w:val="none"/>
              <w:lang w:val="en-US" w:eastAsia="zh-CN"/>
            </w:rPr>
            <w:t>第八章 彰显资源优势，推动文旅融合发展新跃升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_Toc859 \h </w:instrText>
          </w:r>
          <w:r>
            <w:rPr>
              <w:rFonts w:hint="default" w:ascii="Times New Roman" w:hAnsi="Times New Roman" w:cs="Times New Roman"/>
            </w:rPr>
            <w:fldChar w:fldCharType="separate"/>
          </w:r>
          <w:r>
            <w:rPr>
              <w:rFonts w:hint="default" w:ascii="Times New Roman" w:hAnsi="Times New Roman" w:cs="Times New Roman"/>
            </w:rPr>
            <w:t>68</w:t>
          </w:r>
          <w:r>
            <w:rPr>
              <w:rFonts w:hint="default" w:ascii="Times New Roman" w:hAnsi="Times New Roman" w:cs="Times New Roman"/>
            </w:rPr>
            <w:fldChar w:fldCharType="end"/>
          </w:r>
          <w:r>
            <w:rPr>
              <w:rFonts w:hint="default" w:ascii="Times New Roman" w:hAnsi="Times New Roman" w:eastAsia="方正小标宋简体"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_Toc11946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第一节 构建“一区三带九点”发展格局</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_Toc11946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68</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_Toc25291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第二节 加强文化遗产保护利用</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_Toc25291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69</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_Toc26287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第三节 促进文旅康体多业态融合发展</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_Toc26287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70</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_Toc29406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第四节 着力提升旅游服务品质</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_Toc29406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72</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_Toc23722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第五节 完善现代公共文化服务体系</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_Toc23722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74</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highlight w:val="none"/>
              <w:lang w:val="en-US" w:eastAsia="zh-CN"/>
            </w:rPr>
            <w:fldChar w:fldCharType="begin"/>
          </w:r>
          <w:r>
            <w:rPr>
              <w:rFonts w:hint="default" w:ascii="Times New Roman" w:hAnsi="Times New Roman" w:eastAsia="黑体" w:cs="Times New Roman"/>
              <w:highlight w:val="none"/>
              <w:lang w:val="en-US" w:eastAsia="zh-CN"/>
            </w:rPr>
            <w:instrText xml:space="preserve"> HYPERLINK \l _Toc12905 </w:instrText>
          </w:r>
          <w:r>
            <w:rPr>
              <w:rFonts w:hint="default" w:ascii="Times New Roman" w:hAnsi="Times New Roman" w:eastAsia="黑体" w:cs="Times New Roman"/>
              <w:highlight w:val="none"/>
              <w:lang w:val="en-US" w:eastAsia="zh-CN"/>
            </w:rPr>
            <w:fldChar w:fldCharType="separate"/>
          </w:r>
          <w:r>
            <w:rPr>
              <w:rFonts w:hint="default" w:ascii="Times New Roman" w:hAnsi="Times New Roman" w:eastAsia="黑体" w:cs="Times New Roman"/>
              <w:highlight w:val="none"/>
              <w:lang w:val="en-US" w:eastAsia="zh-CN"/>
            </w:rPr>
            <w:t>第九章 全面深化改革开放，释放体制机制新活力</w:t>
          </w:r>
          <w:r>
            <w:rPr>
              <w:rFonts w:hint="default" w:ascii="Times New Roman" w:hAnsi="Times New Roman" w:eastAsia="黑体" w:cs="Times New Roman"/>
              <w:highlight w:val="none"/>
              <w:lang w:val="en-US" w:eastAsia="zh-CN"/>
            </w:rPr>
            <w:tab/>
          </w:r>
          <w:r>
            <w:rPr>
              <w:rFonts w:hint="default" w:ascii="Times New Roman" w:hAnsi="Times New Roman" w:eastAsia="黑体" w:cs="Times New Roman"/>
              <w:highlight w:val="none"/>
              <w:lang w:val="en-US" w:eastAsia="zh-CN"/>
            </w:rPr>
            <w:fldChar w:fldCharType="begin"/>
          </w:r>
          <w:r>
            <w:rPr>
              <w:rFonts w:hint="default" w:ascii="Times New Roman" w:hAnsi="Times New Roman" w:eastAsia="黑体" w:cs="Times New Roman"/>
              <w:highlight w:val="none"/>
              <w:lang w:val="en-US" w:eastAsia="zh-CN"/>
            </w:rPr>
            <w:instrText xml:space="preserve"> PAGEREF _Toc12905 \h </w:instrText>
          </w:r>
          <w:r>
            <w:rPr>
              <w:rFonts w:hint="default" w:ascii="Times New Roman" w:hAnsi="Times New Roman" w:eastAsia="黑体" w:cs="Times New Roman"/>
              <w:highlight w:val="none"/>
              <w:lang w:val="en-US" w:eastAsia="zh-CN"/>
            </w:rPr>
            <w:fldChar w:fldCharType="separate"/>
          </w:r>
          <w:r>
            <w:rPr>
              <w:rFonts w:hint="default" w:ascii="Times New Roman" w:hAnsi="Times New Roman" w:eastAsia="黑体" w:cs="Times New Roman"/>
              <w:highlight w:val="none"/>
              <w:lang w:val="en-US" w:eastAsia="zh-CN"/>
            </w:rPr>
            <w:t>77</w:t>
          </w:r>
          <w:r>
            <w:rPr>
              <w:rFonts w:hint="default" w:ascii="Times New Roman" w:hAnsi="Times New Roman" w:eastAsia="黑体" w:cs="Times New Roman"/>
              <w:highlight w:val="none"/>
              <w:lang w:val="en-US" w:eastAsia="zh-CN"/>
            </w:rPr>
            <w:fldChar w:fldCharType="end"/>
          </w:r>
          <w:r>
            <w:rPr>
              <w:rFonts w:hint="default" w:ascii="Times New Roman" w:hAnsi="Times New Roman" w:eastAsia="黑体"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_Toc32052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第一节 坚持高质量走出去</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_Toc32052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77</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_Toc26731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第二节 推动高水平引进来</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_Toc26731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78</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_Toc29934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第三节 促进民营经济发展壮大</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_Toc29934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80</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_Toc4633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第四节 深化重点领域改革创新</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_Toc4633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81</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_Toc10992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第五节 优化营商环境4.0版本</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_Toc10992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83</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黑体" w:cs="Times New Roman"/>
              <w:highlight w:val="none"/>
              <w:lang w:val="en-US" w:eastAsia="zh-CN"/>
            </w:rPr>
            <w:fldChar w:fldCharType="begin"/>
          </w:r>
          <w:r>
            <w:rPr>
              <w:rFonts w:hint="default" w:ascii="Times New Roman" w:hAnsi="Times New Roman" w:eastAsia="黑体" w:cs="Times New Roman"/>
              <w:highlight w:val="none"/>
              <w:lang w:val="en-US" w:eastAsia="zh-CN"/>
            </w:rPr>
            <w:instrText xml:space="preserve"> HYPERLINK \l _Toc9754 </w:instrText>
          </w:r>
          <w:r>
            <w:rPr>
              <w:rFonts w:hint="default" w:ascii="Times New Roman" w:hAnsi="Times New Roman" w:eastAsia="黑体" w:cs="Times New Roman"/>
              <w:highlight w:val="none"/>
              <w:lang w:val="en-US" w:eastAsia="zh-CN"/>
            </w:rPr>
            <w:fldChar w:fldCharType="separate"/>
          </w:r>
          <w:r>
            <w:rPr>
              <w:rFonts w:hint="default" w:ascii="Times New Roman" w:hAnsi="Times New Roman" w:eastAsia="黑体" w:cs="Times New Roman"/>
              <w:highlight w:val="none"/>
              <w:lang w:val="en-US" w:eastAsia="zh-CN"/>
            </w:rPr>
            <w:t>第十章 加强基础设施建设，夯实区域发展新支撑</w:t>
          </w:r>
          <w:r>
            <w:rPr>
              <w:rFonts w:hint="default" w:ascii="Times New Roman" w:hAnsi="Times New Roman" w:eastAsia="黑体" w:cs="Times New Roman"/>
              <w:highlight w:val="none"/>
              <w:lang w:val="en-US" w:eastAsia="zh-CN"/>
            </w:rPr>
            <w:tab/>
          </w:r>
          <w:r>
            <w:rPr>
              <w:rFonts w:hint="default" w:ascii="Times New Roman" w:hAnsi="Times New Roman" w:eastAsia="黑体" w:cs="Times New Roman"/>
              <w:highlight w:val="none"/>
              <w:lang w:val="en-US" w:eastAsia="zh-CN"/>
            </w:rPr>
            <w:fldChar w:fldCharType="begin"/>
          </w:r>
          <w:r>
            <w:rPr>
              <w:rFonts w:hint="default" w:ascii="Times New Roman" w:hAnsi="Times New Roman" w:eastAsia="黑体" w:cs="Times New Roman"/>
              <w:highlight w:val="none"/>
              <w:lang w:val="en-US" w:eastAsia="zh-CN"/>
            </w:rPr>
            <w:instrText xml:space="preserve"> PAGEREF _Toc9754 \h </w:instrText>
          </w:r>
          <w:r>
            <w:rPr>
              <w:rFonts w:hint="default" w:ascii="Times New Roman" w:hAnsi="Times New Roman" w:eastAsia="黑体" w:cs="Times New Roman"/>
              <w:highlight w:val="none"/>
              <w:lang w:val="en-US" w:eastAsia="zh-CN"/>
            </w:rPr>
            <w:fldChar w:fldCharType="separate"/>
          </w:r>
          <w:r>
            <w:rPr>
              <w:rFonts w:hint="default" w:ascii="Times New Roman" w:hAnsi="Times New Roman" w:eastAsia="黑体" w:cs="Times New Roman"/>
              <w:highlight w:val="none"/>
              <w:lang w:val="en-US" w:eastAsia="zh-CN"/>
            </w:rPr>
            <w:t>85</w:t>
          </w:r>
          <w:r>
            <w:rPr>
              <w:rFonts w:hint="default" w:ascii="Times New Roman" w:hAnsi="Times New Roman" w:eastAsia="黑体" w:cs="Times New Roman"/>
              <w:highlight w:val="none"/>
              <w:lang w:val="en-US" w:eastAsia="zh-CN"/>
            </w:rPr>
            <w:fldChar w:fldCharType="end"/>
          </w:r>
          <w:r>
            <w:rPr>
              <w:rFonts w:hint="default" w:ascii="Times New Roman" w:hAnsi="Times New Roman" w:eastAsia="黑体"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_Toc24449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第一节 构建综合交通体系网</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_Toc24449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85</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_Toc32459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第二节 构建能源设施体系网</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_Toc32459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87</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_Toc6620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第三节 构建水利保障体系网</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_Toc6620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89</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_Toc2954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第四节 构建新型基建体系网</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_Toc2954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91</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highlight w:val="none"/>
              <w:lang w:val="en-US" w:eastAsia="zh-CN"/>
            </w:rPr>
            <w:fldChar w:fldCharType="begin"/>
          </w:r>
          <w:r>
            <w:rPr>
              <w:rFonts w:hint="default" w:ascii="Times New Roman" w:hAnsi="Times New Roman" w:eastAsia="黑体" w:cs="Times New Roman"/>
              <w:highlight w:val="none"/>
              <w:lang w:val="en-US" w:eastAsia="zh-CN"/>
            </w:rPr>
            <w:instrText xml:space="preserve"> HYPERLINK \l _Toc9421 </w:instrText>
          </w:r>
          <w:r>
            <w:rPr>
              <w:rFonts w:hint="default" w:ascii="Times New Roman" w:hAnsi="Times New Roman" w:eastAsia="黑体" w:cs="Times New Roman"/>
              <w:highlight w:val="none"/>
              <w:lang w:val="en-US" w:eastAsia="zh-CN"/>
            </w:rPr>
            <w:fldChar w:fldCharType="separate"/>
          </w:r>
          <w:r>
            <w:rPr>
              <w:rFonts w:hint="default" w:ascii="Times New Roman" w:hAnsi="Times New Roman" w:eastAsia="黑体" w:cs="Times New Roman"/>
              <w:highlight w:val="none"/>
              <w:lang w:val="en-US" w:eastAsia="zh-CN"/>
            </w:rPr>
            <w:t>第十一章 锚定“双碳”目标，绘就全面绿色转型新画卷</w:t>
          </w:r>
          <w:r>
            <w:rPr>
              <w:rFonts w:hint="default" w:ascii="Times New Roman" w:hAnsi="Times New Roman" w:eastAsia="黑体" w:cs="Times New Roman"/>
              <w:highlight w:val="none"/>
              <w:lang w:val="en-US" w:eastAsia="zh-CN"/>
            </w:rPr>
            <w:tab/>
          </w:r>
          <w:r>
            <w:rPr>
              <w:rFonts w:hint="default" w:ascii="Times New Roman" w:hAnsi="Times New Roman" w:eastAsia="黑体" w:cs="Times New Roman"/>
              <w:highlight w:val="none"/>
              <w:lang w:val="en-US" w:eastAsia="zh-CN"/>
            </w:rPr>
            <w:fldChar w:fldCharType="begin"/>
          </w:r>
          <w:r>
            <w:rPr>
              <w:rFonts w:hint="default" w:ascii="Times New Roman" w:hAnsi="Times New Roman" w:eastAsia="黑体" w:cs="Times New Roman"/>
              <w:highlight w:val="none"/>
              <w:lang w:val="en-US" w:eastAsia="zh-CN"/>
            </w:rPr>
            <w:instrText xml:space="preserve"> PAGEREF _Toc9421 \h </w:instrText>
          </w:r>
          <w:r>
            <w:rPr>
              <w:rFonts w:hint="default" w:ascii="Times New Roman" w:hAnsi="Times New Roman" w:eastAsia="黑体" w:cs="Times New Roman"/>
              <w:highlight w:val="none"/>
              <w:lang w:val="en-US" w:eastAsia="zh-CN"/>
            </w:rPr>
            <w:fldChar w:fldCharType="separate"/>
          </w:r>
          <w:r>
            <w:rPr>
              <w:rFonts w:hint="default" w:ascii="Times New Roman" w:hAnsi="Times New Roman" w:eastAsia="黑体" w:cs="Times New Roman"/>
              <w:highlight w:val="none"/>
              <w:lang w:val="en-US" w:eastAsia="zh-CN"/>
            </w:rPr>
            <w:t>92</w:t>
          </w:r>
          <w:r>
            <w:rPr>
              <w:rFonts w:hint="default" w:ascii="Times New Roman" w:hAnsi="Times New Roman" w:eastAsia="黑体" w:cs="Times New Roman"/>
              <w:highlight w:val="none"/>
              <w:lang w:val="en-US" w:eastAsia="zh-CN"/>
            </w:rPr>
            <w:fldChar w:fldCharType="end"/>
          </w:r>
          <w:r>
            <w:rPr>
              <w:rFonts w:hint="default" w:ascii="Times New Roman" w:hAnsi="Times New Roman" w:eastAsia="黑体"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_Toc10574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第一节 构建更优国土空间开发保护格局</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_Toc10574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92</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_Toc6495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第二节 推进更大力度采煤沉陷区治理</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_Toc6495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92</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_Toc17693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第三节 开展更严标准全域减污治污</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_Toc17693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93</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_Toc12290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第四节 统筹更大范围生态保护和修复</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_Toc12290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95</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_Toc16161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第五节 实施更深层次节能降碳减排</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_Toc16161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95</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方正小标宋简体" w:cs="Times New Roman"/>
              <w:highlight w:val="none"/>
              <w:lang w:val="en-US" w:eastAsia="zh-CN"/>
            </w:rPr>
            <w:fldChar w:fldCharType="begin"/>
          </w:r>
          <w:r>
            <w:rPr>
              <w:rFonts w:hint="default" w:ascii="Times New Roman" w:hAnsi="Times New Roman" w:eastAsia="方正小标宋简体" w:cs="Times New Roman"/>
              <w:highlight w:val="none"/>
              <w:lang w:val="en-US" w:eastAsia="zh-CN"/>
            </w:rPr>
            <w:instrText xml:space="preserve"> HYPERLINK \l _Toc5068 </w:instrText>
          </w:r>
          <w:r>
            <w:rPr>
              <w:rFonts w:hint="default" w:ascii="Times New Roman" w:hAnsi="Times New Roman" w:eastAsia="方正小标宋简体" w:cs="Times New Roman"/>
              <w:highlight w:val="none"/>
              <w:lang w:val="en-US" w:eastAsia="zh-CN"/>
            </w:rPr>
            <w:fldChar w:fldCharType="separate"/>
          </w:r>
          <w:r>
            <w:rPr>
              <w:rFonts w:hint="default" w:ascii="Times New Roman" w:hAnsi="Times New Roman" w:eastAsia="黑体" w:cs="Times New Roman"/>
              <w:highlight w:val="none"/>
              <w:lang w:val="en-US" w:eastAsia="zh-CN"/>
            </w:rPr>
            <w:t>第十二章 坚持“投资于人”，建设幸福美满新家园</w:t>
          </w:r>
          <w:r>
            <w:rPr>
              <w:rFonts w:hint="default" w:ascii="Times New Roman" w:hAnsi="Times New Roman" w:eastAsia="黑体" w:cs="Times New Roman"/>
              <w:highlight w:val="none"/>
              <w:lang w:val="en-US" w:eastAsia="zh-C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_Toc5068 \h </w:instrText>
          </w:r>
          <w:r>
            <w:rPr>
              <w:rFonts w:hint="default" w:ascii="Times New Roman" w:hAnsi="Times New Roman" w:cs="Times New Roman"/>
            </w:rPr>
            <w:fldChar w:fldCharType="separate"/>
          </w:r>
          <w:r>
            <w:rPr>
              <w:rFonts w:hint="default" w:ascii="Times New Roman" w:hAnsi="Times New Roman" w:cs="Times New Roman"/>
            </w:rPr>
            <w:t>98</w:t>
          </w:r>
          <w:r>
            <w:rPr>
              <w:rFonts w:hint="default" w:ascii="Times New Roman" w:hAnsi="Times New Roman" w:cs="Times New Roman"/>
            </w:rPr>
            <w:fldChar w:fldCharType="end"/>
          </w:r>
          <w:r>
            <w:rPr>
              <w:rFonts w:hint="default" w:ascii="Times New Roman" w:hAnsi="Times New Roman" w:eastAsia="方正小标宋简体"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_Toc31589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第一节 全力办好人民满意的教育</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_Toc31589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98</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_Toc4284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第二节 促进更充分更高质量就业</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_Toc4284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100</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_Toc13702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第三节 打造“健康淮南”潘集样本</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_Toc13702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102</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_Toc32045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第四节 完善“一老一小”服务体系</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_Toc32045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104</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_Toc5849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第五节 织密多层次社会保障网</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_Toc5849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106</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_Toc32736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第六节 统筹其他社会事业发展</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_Toc32736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107</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黑体" w:cs="Times New Roman"/>
              <w:highlight w:val="none"/>
              <w:lang w:val="en-US" w:eastAsia="zh-CN"/>
            </w:rPr>
            <w:fldChar w:fldCharType="begin"/>
          </w:r>
          <w:r>
            <w:rPr>
              <w:rFonts w:hint="default" w:ascii="Times New Roman" w:hAnsi="Times New Roman" w:eastAsia="黑体" w:cs="Times New Roman"/>
              <w:highlight w:val="none"/>
              <w:lang w:val="en-US" w:eastAsia="zh-CN"/>
            </w:rPr>
            <w:instrText xml:space="preserve"> HYPERLINK \l _Toc19159 </w:instrText>
          </w:r>
          <w:r>
            <w:rPr>
              <w:rFonts w:hint="default" w:ascii="Times New Roman" w:hAnsi="Times New Roman" w:eastAsia="黑体" w:cs="Times New Roman"/>
              <w:highlight w:val="none"/>
              <w:lang w:val="en-US" w:eastAsia="zh-CN"/>
            </w:rPr>
            <w:fldChar w:fldCharType="separate"/>
          </w:r>
          <w:r>
            <w:rPr>
              <w:rFonts w:hint="default" w:ascii="Times New Roman" w:hAnsi="Times New Roman" w:eastAsia="黑体" w:cs="Times New Roman"/>
              <w:highlight w:val="none"/>
              <w:lang w:val="en-US" w:eastAsia="zh-CN"/>
            </w:rPr>
            <w:t>第十三章 完善智治体系，构建平安法治潘集新模式</w:t>
          </w:r>
          <w:r>
            <w:rPr>
              <w:rFonts w:hint="default" w:ascii="Times New Roman" w:hAnsi="Times New Roman" w:eastAsia="黑体" w:cs="Times New Roman"/>
              <w:highlight w:val="none"/>
              <w:lang w:val="en-US" w:eastAsia="zh-CN"/>
            </w:rPr>
            <w:tab/>
          </w:r>
          <w:r>
            <w:rPr>
              <w:rFonts w:hint="default" w:ascii="Times New Roman" w:hAnsi="Times New Roman" w:eastAsia="黑体" w:cs="Times New Roman"/>
              <w:highlight w:val="none"/>
              <w:lang w:val="en-US" w:eastAsia="zh-CN"/>
            </w:rPr>
            <w:fldChar w:fldCharType="begin"/>
          </w:r>
          <w:r>
            <w:rPr>
              <w:rFonts w:hint="default" w:ascii="Times New Roman" w:hAnsi="Times New Roman" w:eastAsia="黑体" w:cs="Times New Roman"/>
              <w:highlight w:val="none"/>
              <w:lang w:val="en-US" w:eastAsia="zh-CN"/>
            </w:rPr>
            <w:instrText xml:space="preserve"> PAGEREF _Toc19159 \h </w:instrText>
          </w:r>
          <w:r>
            <w:rPr>
              <w:rFonts w:hint="default" w:ascii="Times New Roman" w:hAnsi="Times New Roman" w:eastAsia="黑体" w:cs="Times New Roman"/>
              <w:highlight w:val="none"/>
              <w:lang w:val="en-US" w:eastAsia="zh-CN"/>
            </w:rPr>
            <w:fldChar w:fldCharType="separate"/>
          </w:r>
          <w:r>
            <w:rPr>
              <w:rFonts w:hint="default" w:ascii="Times New Roman" w:hAnsi="Times New Roman" w:eastAsia="黑体" w:cs="Times New Roman"/>
              <w:highlight w:val="none"/>
              <w:lang w:val="en-US" w:eastAsia="zh-CN"/>
            </w:rPr>
            <w:t>109</w:t>
          </w:r>
          <w:r>
            <w:rPr>
              <w:rFonts w:hint="default" w:ascii="Times New Roman" w:hAnsi="Times New Roman" w:eastAsia="黑体" w:cs="Times New Roman"/>
              <w:highlight w:val="none"/>
              <w:lang w:val="en-US" w:eastAsia="zh-CN"/>
            </w:rPr>
            <w:fldChar w:fldCharType="end"/>
          </w:r>
          <w:r>
            <w:rPr>
              <w:rFonts w:hint="default" w:ascii="Times New Roman" w:hAnsi="Times New Roman" w:eastAsia="黑体"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_Toc7999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第一节 全面推进法治潘集建设</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_Toc7999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109</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_Toc27597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第二节 提升基层社会治理水平</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_Toc27597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110</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_Toc11206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第三节 切实保障社会公共安全</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_Toc11206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111</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黑体" w:cs="Times New Roman"/>
              <w:highlight w:val="none"/>
              <w:lang w:val="en-US" w:eastAsia="zh-CN"/>
            </w:rPr>
            <w:fldChar w:fldCharType="begin"/>
          </w:r>
          <w:r>
            <w:rPr>
              <w:rFonts w:hint="default" w:ascii="Times New Roman" w:hAnsi="Times New Roman" w:eastAsia="黑体" w:cs="Times New Roman"/>
              <w:highlight w:val="none"/>
              <w:lang w:val="en-US" w:eastAsia="zh-CN"/>
            </w:rPr>
            <w:instrText xml:space="preserve"> HYPERLINK \l _Toc12829 </w:instrText>
          </w:r>
          <w:r>
            <w:rPr>
              <w:rFonts w:hint="default" w:ascii="Times New Roman" w:hAnsi="Times New Roman" w:eastAsia="黑体" w:cs="Times New Roman"/>
              <w:highlight w:val="none"/>
              <w:lang w:val="en-US" w:eastAsia="zh-CN"/>
            </w:rPr>
            <w:fldChar w:fldCharType="separate"/>
          </w:r>
          <w:r>
            <w:rPr>
              <w:rFonts w:hint="default" w:ascii="Times New Roman" w:hAnsi="Times New Roman" w:eastAsia="黑体" w:cs="Times New Roman"/>
              <w:highlight w:val="none"/>
              <w:lang w:val="en-US" w:eastAsia="zh-CN"/>
            </w:rPr>
            <w:t>第十四章 汇聚强大合力，确保规划目标任务取得新成效</w:t>
          </w:r>
          <w:r>
            <w:rPr>
              <w:rFonts w:hint="default" w:ascii="Times New Roman" w:hAnsi="Times New Roman" w:eastAsia="黑体" w:cs="Times New Roman"/>
              <w:highlight w:val="none"/>
              <w:lang w:val="en-US" w:eastAsia="zh-CN"/>
            </w:rPr>
            <w:tab/>
          </w:r>
          <w:r>
            <w:rPr>
              <w:rFonts w:hint="default" w:ascii="Times New Roman" w:hAnsi="Times New Roman" w:eastAsia="黑体" w:cs="Times New Roman"/>
              <w:highlight w:val="none"/>
              <w:lang w:val="en-US" w:eastAsia="zh-CN"/>
            </w:rPr>
            <w:fldChar w:fldCharType="begin"/>
          </w:r>
          <w:r>
            <w:rPr>
              <w:rFonts w:hint="default" w:ascii="Times New Roman" w:hAnsi="Times New Roman" w:eastAsia="黑体" w:cs="Times New Roman"/>
              <w:highlight w:val="none"/>
              <w:lang w:val="en-US" w:eastAsia="zh-CN"/>
            </w:rPr>
            <w:instrText xml:space="preserve"> PAGEREF _Toc12829 \h </w:instrText>
          </w:r>
          <w:r>
            <w:rPr>
              <w:rFonts w:hint="default" w:ascii="Times New Roman" w:hAnsi="Times New Roman" w:eastAsia="黑体" w:cs="Times New Roman"/>
              <w:highlight w:val="none"/>
              <w:lang w:val="en-US" w:eastAsia="zh-CN"/>
            </w:rPr>
            <w:fldChar w:fldCharType="separate"/>
          </w:r>
          <w:r>
            <w:rPr>
              <w:rFonts w:hint="default" w:ascii="Times New Roman" w:hAnsi="Times New Roman" w:eastAsia="黑体" w:cs="Times New Roman"/>
              <w:highlight w:val="none"/>
              <w:lang w:val="en-US" w:eastAsia="zh-CN"/>
            </w:rPr>
            <w:t>114</w:t>
          </w:r>
          <w:r>
            <w:rPr>
              <w:rFonts w:hint="default" w:ascii="Times New Roman" w:hAnsi="Times New Roman" w:eastAsia="黑体" w:cs="Times New Roman"/>
              <w:highlight w:val="none"/>
              <w:lang w:val="en-US" w:eastAsia="zh-CN"/>
            </w:rPr>
            <w:fldChar w:fldCharType="end"/>
          </w:r>
          <w:r>
            <w:rPr>
              <w:rFonts w:hint="default" w:ascii="Times New Roman" w:hAnsi="Times New Roman" w:eastAsia="黑体"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_Toc26301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第一节 坚持党的全面领导</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_Toc26301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114</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_Toc25249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第二节 强化重大项目支撑</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_Toc25249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114</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_Toc3998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第三节 健全资源要素保障</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_Toc3998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115</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HYPERLINK \l _Toc7391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第四节 加强规划监督考核</w:t>
          </w:r>
          <w:r>
            <w:rPr>
              <w:rFonts w:hint="default" w:ascii="Times New Roman" w:hAnsi="Times New Roman" w:eastAsia="楷体_GB2312" w:cs="Times New Roman"/>
              <w:highlight w:val="none"/>
              <w:lang w:val="en-US" w:eastAsia="zh-CN"/>
            </w:rPr>
            <w:tab/>
          </w:r>
          <w:r>
            <w:rPr>
              <w:rFonts w:hint="default" w:ascii="Times New Roman" w:hAnsi="Times New Roman" w:eastAsia="楷体_GB2312" w:cs="Times New Roman"/>
              <w:highlight w:val="none"/>
              <w:lang w:val="en-US" w:eastAsia="zh-CN"/>
            </w:rPr>
            <w:fldChar w:fldCharType="begin"/>
          </w:r>
          <w:r>
            <w:rPr>
              <w:rFonts w:hint="default" w:ascii="Times New Roman" w:hAnsi="Times New Roman" w:eastAsia="楷体_GB2312" w:cs="Times New Roman"/>
              <w:highlight w:val="none"/>
              <w:lang w:val="en-US" w:eastAsia="zh-CN"/>
            </w:rPr>
            <w:instrText xml:space="preserve"> PAGEREF _Toc7391 \h </w:instrText>
          </w:r>
          <w:r>
            <w:rPr>
              <w:rFonts w:hint="default" w:ascii="Times New Roman" w:hAnsi="Times New Roman" w:eastAsia="楷体_GB2312" w:cs="Times New Roman"/>
              <w:highlight w:val="none"/>
              <w:lang w:val="en-US" w:eastAsia="zh-CN"/>
            </w:rPr>
            <w:fldChar w:fldCharType="separate"/>
          </w:r>
          <w:r>
            <w:rPr>
              <w:rFonts w:hint="default" w:ascii="Times New Roman" w:hAnsi="Times New Roman" w:eastAsia="楷体_GB2312" w:cs="Times New Roman"/>
              <w:highlight w:val="none"/>
              <w:lang w:val="en-US" w:eastAsia="zh-CN"/>
            </w:rPr>
            <w:t>116</w:t>
          </w:r>
          <w:r>
            <w:rPr>
              <w:rFonts w:hint="default" w:ascii="Times New Roman" w:hAnsi="Times New Roman" w:eastAsia="楷体_GB2312" w:cs="Times New Roman"/>
              <w:highlight w:val="none"/>
              <w:lang w:val="en-US" w:eastAsia="zh-CN"/>
            </w:rPr>
            <w:fldChar w:fldCharType="end"/>
          </w:r>
          <w:r>
            <w:rPr>
              <w:rFonts w:hint="default" w:ascii="Times New Roman" w:hAnsi="Times New Roman" w:eastAsia="楷体_GB2312" w:cs="Times New Roman"/>
              <w:highlight w:val="none"/>
              <w:lang w:val="en-US" w:eastAsia="zh-CN"/>
            </w:rPr>
            <w:fldChar w:fldCharType="end"/>
          </w:r>
        </w:p>
        <w:p>
          <w:pPr>
            <w:bidi w:val="0"/>
            <w:ind w:left="0" w:leftChars="0" w:firstLine="0" w:firstLineChars="0"/>
            <w:rPr>
              <w:rFonts w:hint="default" w:ascii="Times New Roman" w:hAnsi="Times New Roman" w:cs="Times New Roman"/>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eastAsia="方正小标宋简体" w:cs="Times New Roman"/>
              <w:highlight w:val="none"/>
              <w:lang w:val="en-US" w:eastAsia="zh-CN"/>
            </w:rPr>
            <w:fldChar w:fldCharType="end"/>
          </w:r>
        </w:p>
      </w:sdtContent>
    </w:sdt>
    <w:p>
      <w:pPr>
        <w:pStyle w:val="10"/>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黑体" w:cs="Times New Roman"/>
          <w:kern w:val="2"/>
          <w:sz w:val="36"/>
          <w:szCs w:val="36"/>
          <w:lang w:val="en-US" w:eastAsia="zh-CN" w:bidi="ar-SA"/>
        </w:rPr>
      </w:pPr>
      <w:r>
        <w:rPr>
          <w:rFonts w:hint="default" w:ascii="Times New Roman" w:hAnsi="Times New Roman" w:eastAsia="黑体" w:cs="Times New Roman"/>
          <w:kern w:val="2"/>
          <w:sz w:val="36"/>
          <w:szCs w:val="36"/>
          <w:lang w:val="en-US" w:eastAsia="zh-CN" w:bidi="ar-SA"/>
        </w:rPr>
        <w:t>专 栏 目 录</w:t>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楷体_GB2312" w:cs="Times New Roman"/>
        </w:rPr>
      </w:pPr>
      <w:r>
        <w:rPr>
          <w:rFonts w:hint="default" w:cs="Times New Roman"/>
          <w:lang w:val="en-US" w:eastAsia="zh-CN"/>
        </w:rPr>
        <w:fldChar w:fldCharType="begin"/>
      </w:r>
      <w:r>
        <w:rPr>
          <w:rFonts w:hint="default" w:cs="Times New Roman"/>
          <w:lang w:val="en-US" w:eastAsia="zh-CN"/>
        </w:rPr>
        <w:instrText xml:space="preserve">TOC \o "4-4" \h \u </w:instrText>
      </w:r>
      <w:r>
        <w:rPr>
          <w:rFonts w:hint="default" w:cs="Times New Roman"/>
          <w:lang w:val="en-US" w:eastAsia="zh-CN"/>
        </w:rPr>
        <w:fldChar w:fldCharType="separate"/>
      </w:r>
      <w:r>
        <w:rPr>
          <w:rFonts w:hint="default" w:ascii="Times New Roman" w:hAnsi="Times New Roman" w:eastAsia="楷体_GB2312" w:cs="Times New Roman"/>
          <w:lang w:val="en-US" w:eastAsia="zh-CN"/>
        </w:rPr>
        <w:fldChar w:fldCharType="begin"/>
      </w:r>
      <w:r>
        <w:rPr>
          <w:rFonts w:hint="default" w:ascii="Times New Roman" w:hAnsi="Times New Roman" w:eastAsia="楷体_GB2312" w:cs="Times New Roman"/>
          <w:lang w:val="en-US" w:eastAsia="zh-CN"/>
        </w:rPr>
        <w:instrText xml:space="preserve"> HYPERLINK \l _Toc4060 </w:instrText>
      </w:r>
      <w:r>
        <w:rPr>
          <w:rFonts w:hint="default" w:ascii="Times New Roman" w:hAnsi="Times New Roman" w:eastAsia="楷体_GB2312" w:cs="Times New Roman"/>
          <w:lang w:val="en-US" w:eastAsia="zh-CN"/>
        </w:rPr>
        <w:fldChar w:fldCharType="separate"/>
      </w:r>
      <w:r>
        <w:rPr>
          <w:rFonts w:hint="default" w:ascii="Times New Roman" w:hAnsi="Times New Roman" w:eastAsia="楷体_GB2312" w:cs="Times New Roman"/>
          <w:lang w:val="en-US" w:eastAsia="zh-CN"/>
        </w:rPr>
        <w:t>专栏1 战略性新兴产业重点项目</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_Toc4060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28</w:t>
      </w:r>
      <w:r>
        <w:rPr>
          <w:rFonts w:hint="default" w:ascii="Times New Roman" w:hAnsi="Times New Roman" w:eastAsia="楷体_GB2312" w:cs="Times New Roman"/>
        </w:rPr>
        <w:fldChar w:fldCharType="end"/>
      </w:r>
      <w:r>
        <w:rPr>
          <w:rFonts w:hint="default" w:ascii="Times New Roman" w:hAnsi="Times New Roman" w:eastAsia="楷体_GB2312" w:cs="Times New Roman"/>
          <w:lang w:val="en-US"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楷体_GB2312" w:cs="Times New Roman"/>
        </w:rPr>
      </w:pPr>
      <w:r>
        <w:rPr>
          <w:rFonts w:hint="default" w:ascii="Times New Roman" w:hAnsi="Times New Roman" w:eastAsia="楷体_GB2312" w:cs="Times New Roman"/>
          <w:lang w:val="en-US" w:eastAsia="zh-CN"/>
        </w:rPr>
        <w:fldChar w:fldCharType="begin"/>
      </w:r>
      <w:r>
        <w:rPr>
          <w:rFonts w:hint="default" w:ascii="Times New Roman" w:hAnsi="Times New Roman" w:eastAsia="楷体_GB2312" w:cs="Times New Roman"/>
          <w:lang w:val="en-US" w:eastAsia="zh-CN"/>
        </w:rPr>
        <w:instrText xml:space="preserve"> HYPERLINK \l _Toc12454 </w:instrText>
      </w:r>
      <w:r>
        <w:rPr>
          <w:rFonts w:hint="default" w:ascii="Times New Roman" w:hAnsi="Times New Roman" w:eastAsia="楷体_GB2312" w:cs="Times New Roman"/>
          <w:lang w:val="en-US" w:eastAsia="zh-CN"/>
        </w:rPr>
        <w:fldChar w:fldCharType="separate"/>
      </w:r>
      <w:r>
        <w:rPr>
          <w:rFonts w:hint="default" w:ascii="Times New Roman" w:hAnsi="Times New Roman" w:eastAsia="楷体_GB2312" w:cs="Times New Roman"/>
          <w:lang w:val="en-US" w:eastAsia="zh-CN"/>
        </w:rPr>
        <w:t>专栏2 现代服务业重点项目</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_Toc12454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32</w:t>
      </w:r>
      <w:r>
        <w:rPr>
          <w:rFonts w:hint="default" w:ascii="Times New Roman" w:hAnsi="Times New Roman" w:eastAsia="楷体_GB2312" w:cs="Times New Roman"/>
        </w:rPr>
        <w:fldChar w:fldCharType="end"/>
      </w:r>
      <w:r>
        <w:rPr>
          <w:rFonts w:hint="default" w:ascii="Times New Roman" w:hAnsi="Times New Roman" w:eastAsia="楷体_GB2312" w:cs="Times New Roman"/>
          <w:lang w:val="en-US"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楷体_GB2312" w:cs="Times New Roman"/>
        </w:rPr>
      </w:pPr>
      <w:r>
        <w:rPr>
          <w:rFonts w:hint="default" w:ascii="Times New Roman" w:hAnsi="Times New Roman" w:eastAsia="楷体_GB2312" w:cs="Times New Roman"/>
          <w:lang w:val="en-US" w:eastAsia="zh-CN"/>
        </w:rPr>
        <w:fldChar w:fldCharType="begin"/>
      </w:r>
      <w:r>
        <w:rPr>
          <w:rFonts w:hint="default" w:ascii="Times New Roman" w:hAnsi="Times New Roman" w:eastAsia="楷体_GB2312" w:cs="Times New Roman"/>
          <w:lang w:val="en-US" w:eastAsia="zh-CN"/>
        </w:rPr>
        <w:instrText xml:space="preserve"> HYPERLINK \l _Toc7491 </w:instrText>
      </w:r>
      <w:r>
        <w:rPr>
          <w:rFonts w:hint="default" w:ascii="Times New Roman" w:hAnsi="Times New Roman" w:eastAsia="楷体_GB2312" w:cs="Times New Roman"/>
          <w:lang w:val="en-US" w:eastAsia="zh-CN"/>
        </w:rPr>
        <w:fldChar w:fldCharType="separate"/>
      </w:r>
      <w:r>
        <w:rPr>
          <w:rFonts w:hint="default" w:ascii="Times New Roman" w:hAnsi="Times New Roman" w:eastAsia="楷体_GB2312" w:cs="Times New Roman"/>
          <w:lang w:val="en-US" w:eastAsia="zh-CN"/>
        </w:rPr>
        <w:t>专栏3 区中园建设及配套基础设施重点项目</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_Toc7491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35</w:t>
      </w:r>
      <w:r>
        <w:rPr>
          <w:rFonts w:hint="default" w:ascii="Times New Roman" w:hAnsi="Times New Roman" w:eastAsia="楷体_GB2312" w:cs="Times New Roman"/>
        </w:rPr>
        <w:fldChar w:fldCharType="end"/>
      </w:r>
      <w:r>
        <w:rPr>
          <w:rFonts w:hint="default" w:ascii="Times New Roman" w:hAnsi="Times New Roman" w:eastAsia="楷体_GB2312" w:cs="Times New Roman"/>
          <w:lang w:val="en-US"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楷体_GB2312" w:cs="Times New Roman"/>
        </w:rPr>
      </w:pPr>
      <w:r>
        <w:rPr>
          <w:rFonts w:hint="default" w:ascii="Times New Roman" w:hAnsi="Times New Roman" w:eastAsia="楷体_GB2312" w:cs="Times New Roman"/>
          <w:lang w:val="en-US" w:eastAsia="zh-CN"/>
        </w:rPr>
        <w:fldChar w:fldCharType="begin"/>
      </w:r>
      <w:r>
        <w:rPr>
          <w:rFonts w:hint="default" w:ascii="Times New Roman" w:hAnsi="Times New Roman" w:eastAsia="楷体_GB2312" w:cs="Times New Roman"/>
          <w:lang w:val="en-US" w:eastAsia="zh-CN"/>
        </w:rPr>
        <w:instrText xml:space="preserve"> HYPERLINK \l _Toc4399 </w:instrText>
      </w:r>
      <w:r>
        <w:rPr>
          <w:rFonts w:hint="default" w:ascii="Times New Roman" w:hAnsi="Times New Roman" w:eastAsia="楷体_GB2312" w:cs="Times New Roman"/>
          <w:lang w:val="en-US" w:eastAsia="zh-CN"/>
        </w:rPr>
        <w:fldChar w:fldCharType="separate"/>
      </w:r>
      <w:r>
        <w:rPr>
          <w:rFonts w:hint="default" w:ascii="Times New Roman" w:hAnsi="Times New Roman" w:eastAsia="楷体_GB2312" w:cs="Times New Roman"/>
          <w:lang w:val="en-US" w:eastAsia="zh-CN"/>
        </w:rPr>
        <w:t>专栏4 壮大创新主体“三大工程”</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_Toc4399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39</w:t>
      </w:r>
      <w:r>
        <w:rPr>
          <w:rFonts w:hint="default" w:ascii="Times New Roman" w:hAnsi="Times New Roman" w:eastAsia="楷体_GB2312" w:cs="Times New Roman"/>
        </w:rPr>
        <w:fldChar w:fldCharType="end"/>
      </w:r>
      <w:r>
        <w:rPr>
          <w:rFonts w:hint="default" w:ascii="Times New Roman" w:hAnsi="Times New Roman" w:eastAsia="楷体_GB2312" w:cs="Times New Roman"/>
          <w:lang w:val="en-US"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楷体_GB2312" w:cs="Times New Roman"/>
        </w:rPr>
      </w:pPr>
      <w:r>
        <w:rPr>
          <w:rFonts w:hint="default" w:ascii="Times New Roman" w:hAnsi="Times New Roman" w:eastAsia="楷体_GB2312" w:cs="Times New Roman"/>
          <w:lang w:val="en-US" w:eastAsia="zh-CN"/>
        </w:rPr>
        <w:fldChar w:fldCharType="begin"/>
      </w:r>
      <w:r>
        <w:rPr>
          <w:rFonts w:hint="default" w:ascii="Times New Roman" w:hAnsi="Times New Roman" w:eastAsia="楷体_GB2312" w:cs="Times New Roman"/>
          <w:lang w:val="en-US" w:eastAsia="zh-CN"/>
        </w:rPr>
        <w:instrText xml:space="preserve"> HYPERLINK \l _Toc21524 </w:instrText>
      </w:r>
      <w:r>
        <w:rPr>
          <w:rFonts w:hint="default" w:ascii="Times New Roman" w:hAnsi="Times New Roman" w:eastAsia="楷体_GB2312" w:cs="Times New Roman"/>
          <w:lang w:val="en-US" w:eastAsia="zh-CN"/>
        </w:rPr>
        <w:fldChar w:fldCharType="separate"/>
      </w:r>
      <w:r>
        <w:rPr>
          <w:rFonts w:hint="default" w:ascii="Times New Roman" w:hAnsi="Times New Roman" w:eastAsia="楷体_GB2312" w:cs="Times New Roman"/>
          <w:lang w:val="en-US" w:eastAsia="zh-CN"/>
        </w:rPr>
        <w:t>专栏5 城市品质提升重点项目</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_Toc21524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51</w:t>
      </w:r>
      <w:r>
        <w:rPr>
          <w:rFonts w:hint="default" w:ascii="Times New Roman" w:hAnsi="Times New Roman" w:eastAsia="楷体_GB2312" w:cs="Times New Roman"/>
        </w:rPr>
        <w:fldChar w:fldCharType="end"/>
      </w:r>
      <w:r>
        <w:rPr>
          <w:rFonts w:hint="default" w:ascii="Times New Roman" w:hAnsi="Times New Roman" w:eastAsia="楷体_GB2312" w:cs="Times New Roman"/>
          <w:lang w:val="en-US"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楷体_GB2312" w:cs="Times New Roman"/>
        </w:rPr>
      </w:pPr>
      <w:r>
        <w:rPr>
          <w:rFonts w:hint="default" w:ascii="Times New Roman" w:hAnsi="Times New Roman" w:eastAsia="楷体_GB2312" w:cs="Times New Roman"/>
          <w:lang w:val="en-US" w:eastAsia="zh-CN"/>
        </w:rPr>
        <w:fldChar w:fldCharType="begin"/>
      </w:r>
      <w:r>
        <w:rPr>
          <w:rFonts w:hint="default" w:ascii="Times New Roman" w:hAnsi="Times New Roman" w:eastAsia="楷体_GB2312" w:cs="Times New Roman"/>
          <w:lang w:val="en-US" w:eastAsia="zh-CN"/>
        </w:rPr>
        <w:instrText xml:space="preserve"> HYPERLINK \l _Toc2969 </w:instrText>
      </w:r>
      <w:r>
        <w:rPr>
          <w:rFonts w:hint="default" w:ascii="Times New Roman" w:hAnsi="Times New Roman" w:eastAsia="楷体_GB2312" w:cs="Times New Roman"/>
          <w:lang w:val="en-US" w:eastAsia="zh-CN"/>
        </w:rPr>
        <w:fldChar w:fldCharType="separate"/>
      </w:r>
      <w:r>
        <w:rPr>
          <w:rFonts w:hint="default" w:ascii="Times New Roman" w:hAnsi="Times New Roman" w:eastAsia="楷体_GB2312" w:cs="Times New Roman"/>
        </w:rPr>
        <w:t>专栏</w:t>
      </w:r>
      <w:r>
        <w:rPr>
          <w:rFonts w:hint="default" w:ascii="Times New Roman" w:hAnsi="Times New Roman" w:eastAsia="楷体_GB2312" w:cs="Times New Roman"/>
          <w:lang w:val="en-US" w:eastAsia="zh-CN"/>
        </w:rPr>
        <w:t>6</w:t>
      </w:r>
      <w:r>
        <w:rPr>
          <w:rFonts w:hint="default" w:ascii="Times New Roman" w:hAnsi="Times New Roman" w:eastAsia="楷体_GB2312" w:cs="Times New Roman"/>
        </w:rPr>
        <w:t xml:space="preserve"> 特色城镇建设</w:t>
      </w:r>
      <w:r>
        <w:rPr>
          <w:rFonts w:hint="eastAsia" w:ascii="Times New Roman" w:hAnsi="Times New Roman" w:eastAsia="楷体_GB2312" w:cs="Times New Roman"/>
          <w:lang w:val="en-US" w:eastAsia="zh-CN"/>
        </w:rPr>
        <w:t>重点项目</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_Toc2969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52</w:t>
      </w:r>
      <w:r>
        <w:rPr>
          <w:rFonts w:hint="default" w:ascii="Times New Roman" w:hAnsi="Times New Roman" w:eastAsia="楷体_GB2312" w:cs="Times New Roman"/>
        </w:rPr>
        <w:fldChar w:fldCharType="end"/>
      </w:r>
      <w:r>
        <w:rPr>
          <w:rFonts w:hint="default" w:ascii="Times New Roman" w:hAnsi="Times New Roman" w:eastAsia="楷体_GB2312" w:cs="Times New Roman"/>
          <w:lang w:val="en-US"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楷体_GB2312" w:cs="Times New Roman"/>
        </w:rPr>
      </w:pPr>
      <w:r>
        <w:rPr>
          <w:rFonts w:hint="default" w:ascii="Times New Roman" w:hAnsi="Times New Roman" w:eastAsia="楷体_GB2312" w:cs="Times New Roman"/>
          <w:lang w:val="en-US" w:eastAsia="zh-CN"/>
        </w:rPr>
        <w:fldChar w:fldCharType="begin"/>
      </w:r>
      <w:r>
        <w:rPr>
          <w:rFonts w:hint="default" w:ascii="Times New Roman" w:hAnsi="Times New Roman" w:eastAsia="楷体_GB2312" w:cs="Times New Roman"/>
          <w:lang w:val="en-US" w:eastAsia="zh-CN"/>
        </w:rPr>
        <w:instrText xml:space="preserve"> HYPERLINK \l _Toc4061 </w:instrText>
      </w:r>
      <w:r>
        <w:rPr>
          <w:rFonts w:hint="default" w:ascii="Times New Roman" w:hAnsi="Times New Roman" w:eastAsia="楷体_GB2312" w:cs="Times New Roman"/>
          <w:lang w:val="en-US" w:eastAsia="zh-CN"/>
        </w:rPr>
        <w:fldChar w:fldCharType="separate"/>
      </w:r>
      <w:r>
        <w:rPr>
          <w:rFonts w:hint="default" w:ascii="Times New Roman" w:hAnsi="Times New Roman" w:eastAsia="楷体_GB2312" w:cs="Times New Roman"/>
        </w:rPr>
        <w:t>专栏</w:t>
      </w:r>
      <w:r>
        <w:rPr>
          <w:rFonts w:hint="default" w:ascii="Times New Roman" w:hAnsi="Times New Roman" w:eastAsia="楷体_GB2312" w:cs="Times New Roman"/>
          <w:lang w:val="en-US" w:eastAsia="zh-CN"/>
        </w:rPr>
        <w:t>7 乡村全面振兴</w:t>
      </w:r>
      <w:r>
        <w:rPr>
          <w:rFonts w:hint="default" w:ascii="Times New Roman" w:hAnsi="Times New Roman" w:eastAsia="楷体_GB2312" w:cs="Times New Roman"/>
        </w:rPr>
        <w:t>重点项目</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_Toc4061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67</w:t>
      </w:r>
      <w:r>
        <w:rPr>
          <w:rFonts w:hint="default" w:ascii="Times New Roman" w:hAnsi="Times New Roman" w:eastAsia="楷体_GB2312" w:cs="Times New Roman"/>
        </w:rPr>
        <w:fldChar w:fldCharType="end"/>
      </w:r>
      <w:r>
        <w:rPr>
          <w:rFonts w:hint="default" w:ascii="Times New Roman" w:hAnsi="Times New Roman" w:eastAsia="楷体_GB2312" w:cs="Times New Roman"/>
          <w:lang w:val="en-US"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楷体_GB2312" w:cs="Times New Roman"/>
        </w:rPr>
      </w:pPr>
      <w:r>
        <w:rPr>
          <w:rFonts w:hint="default" w:ascii="Times New Roman" w:hAnsi="Times New Roman" w:eastAsia="楷体_GB2312" w:cs="Times New Roman"/>
          <w:lang w:val="en-US" w:eastAsia="zh-CN"/>
        </w:rPr>
        <w:fldChar w:fldCharType="begin"/>
      </w:r>
      <w:r>
        <w:rPr>
          <w:rFonts w:hint="default" w:ascii="Times New Roman" w:hAnsi="Times New Roman" w:eastAsia="楷体_GB2312" w:cs="Times New Roman"/>
          <w:lang w:val="en-US" w:eastAsia="zh-CN"/>
        </w:rPr>
        <w:instrText xml:space="preserve"> HYPERLINK \l _Toc16455 </w:instrText>
      </w:r>
      <w:r>
        <w:rPr>
          <w:rFonts w:hint="default" w:ascii="Times New Roman" w:hAnsi="Times New Roman" w:eastAsia="楷体_GB2312" w:cs="Times New Roman"/>
          <w:lang w:val="en-US" w:eastAsia="zh-CN"/>
        </w:rPr>
        <w:fldChar w:fldCharType="separate"/>
      </w:r>
      <w:r>
        <w:rPr>
          <w:rFonts w:hint="default" w:ascii="Times New Roman" w:hAnsi="Times New Roman" w:eastAsia="楷体_GB2312" w:cs="Times New Roman"/>
        </w:rPr>
        <w:t>专栏</w:t>
      </w:r>
      <w:r>
        <w:rPr>
          <w:rFonts w:hint="default" w:ascii="Times New Roman" w:hAnsi="Times New Roman" w:eastAsia="楷体_GB2312" w:cs="Times New Roman"/>
          <w:lang w:val="en-US" w:eastAsia="zh-CN"/>
        </w:rPr>
        <w:t>8 文旅产业和文化事业</w:t>
      </w:r>
      <w:r>
        <w:rPr>
          <w:rFonts w:hint="default" w:ascii="Times New Roman" w:hAnsi="Times New Roman" w:eastAsia="楷体_GB2312" w:cs="Times New Roman"/>
        </w:rPr>
        <w:t>重点项目</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_Toc16455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76</w:t>
      </w:r>
      <w:r>
        <w:rPr>
          <w:rFonts w:hint="default" w:ascii="Times New Roman" w:hAnsi="Times New Roman" w:eastAsia="楷体_GB2312" w:cs="Times New Roman"/>
        </w:rPr>
        <w:fldChar w:fldCharType="end"/>
      </w:r>
      <w:r>
        <w:rPr>
          <w:rFonts w:hint="default" w:ascii="Times New Roman" w:hAnsi="Times New Roman" w:eastAsia="楷体_GB2312" w:cs="Times New Roman"/>
          <w:lang w:val="en-US"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楷体_GB2312" w:cs="Times New Roman"/>
        </w:rPr>
      </w:pPr>
      <w:r>
        <w:rPr>
          <w:rFonts w:hint="default" w:ascii="Times New Roman" w:hAnsi="Times New Roman" w:eastAsia="楷体_GB2312" w:cs="Times New Roman"/>
          <w:lang w:val="en-US" w:eastAsia="zh-CN"/>
        </w:rPr>
        <w:fldChar w:fldCharType="begin"/>
      </w:r>
      <w:r>
        <w:rPr>
          <w:rFonts w:hint="default" w:ascii="Times New Roman" w:hAnsi="Times New Roman" w:eastAsia="楷体_GB2312" w:cs="Times New Roman"/>
          <w:lang w:val="en-US" w:eastAsia="zh-CN"/>
        </w:rPr>
        <w:instrText xml:space="preserve"> HYPERLINK \l _Toc354 </w:instrText>
      </w:r>
      <w:r>
        <w:rPr>
          <w:rFonts w:hint="default" w:ascii="Times New Roman" w:hAnsi="Times New Roman" w:eastAsia="楷体_GB2312" w:cs="Times New Roman"/>
          <w:lang w:val="en-US" w:eastAsia="zh-CN"/>
        </w:rPr>
        <w:fldChar w:fldCharType="separate"/>
      </w:r>
      <w:r>
        <w:rPr>
          <w:rFonts w:hint="default" w:ascii="Times New Roman" w:hAnsi="Times New Roman" w:eastAsia="楷体_GB2312" w:cs="Times New Roman"/>
        </w:rPr>
        <w:t>专栏</w:t>
      </w:r>
      <w:r>
        <w:rPr>
          <w:rFonts w:hint="default" w:ascii="Times New Roman" w:hAnsi="Times New Roman" w:eastAsia="楷体_GB2312" w:cs="Times New Roman"/>
          <w:lang w:val="en-US" w:eastAsia="zh-CN"/>
        </w:rPr>
        <w:t>9</w:t>
      </w:r>
      <w:r>
        <w:rPr>
          <w:rFonts w:hint="default" w:ascii="Times New Roman" w:hAnsi="Times New Roman" w:eastAsia="楷体_GB2312" w:cs="Times New Roman"/>
        </w:rPr>
        <w:t xml:space="preserve"> </w:t>
      </w:r>
      <w:r>
        <w:rPr>
          <w:rFonts w:hint="default" w:ascii="Times New Roman" w:hAnsi="Times New Roman" w:eastAsia="楷体_GB2312" w:cs="Times New Roman"/>
          <w:lang w:val="en-US" w:eastAsia="zh-CN"/>
        </w:rPr>
        <w:t>综合交通重点项目</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_Toc354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87</w:t>
      </w:r>
      <w:r>
        <w:rPr>
          <w:rFonts w:hint="default" w:ascii="Times New Roman" w:hAnsi="Times New Roman" w:eastAsia="楷体_GB2312" w:cs="Times New Roman"/>
        </w:rPr>
        <w:fldChar w:fldCharType="end"/>
      </w:r>
      <w:r>
        <w:rPr>
          <w:rFonts w:hint="default" w:ascii="Times New Roman" w:hAnsi="Times New Roman" w:eastAsia="楷体_GB2312" w:cs="Times New Roman"/>
          <w:lang w:val="en-US"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楷体_GB2312" w:cs="Times New Roman"/>
        </w:rPr>
      </w:pPr>
      <w:r>
        <w:rPr>
          <w:rFonts w:hint="default" w:ascii="Times New Roman" w:hAnsi="Times New Roman" w:eastAsia="楷体_GB2312" w:cs="Times New Roman"/>
          <w:lang w:val="en-US" w:eastAsia="zh-CN"/>
        </w:rPr>
        <w:fldChar w:fldCharType="begin"/>
      </w:r>
      <w:r>
        <w:rPr>
          <w:rFonts w:hint="default" w:ascii="Times New Roman" w:hAnsi="Times New Roman" w:eastAsia="楷体_GB2312" w:cs="Times New Roman"/>
          <w:lang w:val="en-US" w:eastAsia="zh-CN"/>
        </w:rPr>
        <w:instrText xml:space="preserve"> HYPERLINK \l _Toc32511 </w:instrText>
      </w:r>
      <w:r>
        <w:rPr>
          <w:rFonts w:hint="default" w:ascii="Times New Roman" w:hAnsi="Times New Roman" w:eastAsia="楷体_GB2312" w:cs="Times New Roman"/>
          <w:lang w:val="en-US" w:eastAsia="zh-CN"/>
        </w:rPr>
        <w:fldChar w:fldCharType="separate"/>
      </w:r>
      <w:r>
        <w:rPr>
          <w:rFonts w:hint="default" w:ascii="Times New Roman" w:hAnsi="Times New Roman" w:eastAsia="楷体_GB2312" w:cs="Times New Roman"/>
        </w:rPr>
        <w:t>专栏</w:t>
      </w:r>
      <w:r>
        <w:rPr>
          <w:rFonts w:hint="default" w:ascii="Times New Roman" w:hAnsi="Times New Roman" w:eastAsia="楷体_GB2312" w:cs="Times New Roman"/>
          <w:lang w:val="en-US" w:eastAsia="zh-CN"/>
        </w:rPr>
        <w:t>10</w:t>
      </w:r>
      <w:r>
        <w:rPr>
          <w:rFonts w:hint="eastAsia" w:ascii="Times New Roman" w:hAnsi="Times New Roman" w:eastAsia="楷体_GB2312" w:cs="Times New Roman"/>
          <w:lang w:val="en-US" w:eastAsia="zh-CN"/>
        </w:rPr>
        <w:t xml:space="preserve"> </w:t>
      </w:r>
      <w:r>
        <w:rPr>
          <w:rFonts w:hint="default" w:ascii="Times New Roman" w:hAnsi="Times New Roman" w:eastAsia="楷体_GB2312" w:cs="Times New Roman"/>
          <w:lang w:val="en-US" w:eastAsia="zh-CN"/>
        </w:rPr>
        <w:t>能源基础设施重点项目</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_Toc32511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88</w:t>
      </w:r>
      <w:r>
        <w:rPr>
          <w:rFonts w:hint="default" w:ascii="Times New Roman" w:hAnsi="Times New Roman" w:eastAsia="楷体_GB2312" w:cs="Times New Roman"/>
        </w:rPr>
        <w:fldChar w:fldCharType="end"/>
      </w:r>
      <w:r>
        <w:rPr>
          <w:rFonts w:hint="default" w:ascii="Times New Roman" w:hAnsi="Times New Roman" w:eastAsia="楷体_GB2312" w:cs="Times New Roman"/>
          <w:lang w:val="en-US"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楷体_GB2312" w:cs="Times New Roman"/>
        </w:rPr>
      </w:pPr>
      <w:r>
        <w:rPr>
          <w:rFonts w:hint="default" w:ascii="Times New Roman" w:hAnsi="Times New Roman" w:eastAsia="楷体_GB2312" w:cs="Times New Roman"/>
          <w:lang w:val="en-US" w:eastAsia="zh-CN"/>
        </w:rPr>
        <w:fldChar w:fldCharType="begin"/>
      </w:r>
      <w:r>
        <w:rPr>
          <w:rFonts w:hint="default" w:ascii="Times New Roman" w:hAnsi="Times New Roman" w:eastAsia="楷体_GB2312" w:cs="Times New Roman"/>
          <w:lang w:val="en-US" w:eastAsia="zh-CN"/>
        </w:rPr>
        <w:instrText xml:space="preserve"> HYPERLINK \l _Toc30381 </w:instrText>
      </w:r>
      <w:r>
        <w:rPr>
          <w:rFonts w:hint="default" w:ascii="Times New Roman" w:hAnsi="Times New Roman" w:eastAsia="楷体_GB2312" w:cs="Times New Roman"/>
          <w:lang w:val="en-US" w:eastAsia="zh-CN"/>
        </w:rPr>
        <w:fldChar w:fldCharType="separate"/>
      </w:r>
      <w:r>
        <w:rPr>
          <w:rFonts w:hint="default" w:ascii="Times New Roman" w:hAnsi="Times New Roman" w:eastAsia="楷体_GB2312" w:cs="Times New Roman"/>
        </w:rPr>
        <w:t>专栏</w:t>
      </w:r>
      <w:r>
        <w:rPr>
          <w:rFonts w:hint="default" w:ascii="Times New Roman" w:hAnsi="Times New Roman" w:eastAsia="楷体_GB2312" w:cs="Times New Roman"/>
          <w:lang w:val="en-US" w:eastAsia="zh-CN"/>
        </w:rPr>
        <w:t>11</w:t>
      </w:r>
      <w:r>
        <w:rPr>
          <w:rFonts w:hint="default" w:ascii="Times New Roman" w:hAnsi="Times New Roman" w:eastAsia="楷体_GB2312" w:cs="Times New Roman"/>
        </w:rPr>
        <w:t xml:space="preserve"> 水利</w:t>
      </w:r>
      <w:r>
        <w:rPr>
          <w:rFonts w:hint="default" w:ascii="Times New Roman" w:hAnsi="Times New Roman" w:eastAsia="楷体_GB2312" w:cs="Times New Roman"/>
          <w:lang w:val="en-US" w:eastAsia="zh-CN"/>
        </w:rPr>
        <w:t>设施建设</w:t>
      </w:r>
      <w:r>
        <w:rPr>
          <w:rFonts w:hint="default" w:ascii="Times New Roman" w:hAnsi="Times New Roman" w:eastAsia="楷体_GB2312" w:cs="Times New Roman"/>
        </w:rPr>
        <w:t>重点项目</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_Toc30381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90</w:t>
      </w:r>
      <w:r>
        <w:rPr>
          <w:rFonts w:hint="default" w:ascii="Times New Roman" w:hAnsi="Times New Roman" w:eastAsia="楷体_GB2312" w:cs="Times New Roman"/>
        </w:rPr>
        <w:fldChar w:fldCharType="end"/>
      </w:r>
      <w:r>
        <w:rPr>
          <w:rFonts w:hint="default" w:ascii="Times New Roman" w:hAnsi="Times New Roman" w:eastAsia="楷体_GB2312" w:cs="Times New Roman"/>
          <w:lang w:val="en-US"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楷体_GB2312" w:cs="Times New Roman"/>
        </w:rPr>
      </w:pPr>
      <w:r>
        <w:rPr>
          <w:rFonts w:hint="default" w:ascii="Times New Roman" w:hAnsi="Times New Roman" w:eastAsia="楷体_GB2312" w:cs="Times New Roman"/>
          <w:lang w:val="en-US" w:eastAsia="zh-CN"/>
        </w:rPr>
        <w:fldChar w:fldCharType="begin"/>
      </w:r>
      <w:r>
        <w:rPr>
          <w:rFonts w:hint="default" w:ascii="Times New Roman" w:hAnsi="Times New Roman" w:eastAsia="楷体_GB2312" w:cs="Times New Roman"/>
          <w:lang w:val="en-US" w:eastAsia="zh-CN"/>
        </w:rPr>
        <w:instrText xml:space="preserve"> HYPERLINK \l _Toc28679 </w:instrText>
      </w:r>
      <w:r>
        <w:rPr>
          <w:rFonts w:hint="default" w:ascii="Times New Roman" w:hAnsi="Times New Roman" w:eastAsia="楷体_GB2312" w:cs="Times New Roman"/>
          <w:lang w:val="en-US" w:eastAsia="zh-CN"/>
        </w:rPr>
        <w:fldChar w:fldCharType="separate"/>
      </w:r>
      <w:r>
        <w:rPr>
          <w:rFonts w:hint="default" w:ascii="Times New Roman" w:hAnsi="Times New Roman" w:eastAsia="楷体_GB2312" w:cs="Times New Roman"/>
        </w:rPr>
        <w:t>专栏</w:t>
      </w:r>
      <w:r>
        <w:rPr>
          <w:rFonts w:hint="default" w:ascii="Times New Roman" w:hAnsi="Times New Roman" w:eastAsia="楷体_GB2312" w:cs="Times New Roman"/>
          <w:lang w:val="en-US" w:eastAsia="zh-CN"/>
        </w:rPr>
        <w:t>12</w:t>
      </w:r>
      <w:r>
        <w:rPr>
          <w:rFonts w:hint="default" w:ascii="Times New Roman" w:hAnsi="Times New Roman" w:eastAsia="楷体_GB2312" w:cs="Times New Roman"/>
        </w:rPr>
        <w:t xml:space="preserve"> </w:t>
      </w:r>
      <w:r>
        <w:rPr>
          <w:rFonts w:hint="default" w:ascii="Times New Roman" w:hAnsi="Times New Roman" w:eastAsia="楷体_GB2312" w:cs="Times New Roman"/>
          <w:lang w:val="en-US" w:eastAsia="zh-CN"/>
        </w:rPr>
        <w:t>生态环境保护与修复</w:t>
      </w:r>
      <w:r>
        <w:rPr>
          <w:rFonts w:hint="default" w:ascii="Times New Roman" w:hAnsi="Times New Roman" w:eastAsia="楷体_GB2312" w:cs="Times New Roman"/>
        </w:rPr>
        <w:t>重点项目</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_Toc28679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97</w:t>
      </w:r>
      <w:r>
        <w:rPr>
          <w:rFonts w:hint="default" w:ascii="Times New Roman" w:hAnsi="Times New Roman" w:eastAsia="楷体_GB2312" w:cs="Times New Roman"/>
        </w:rPr>
        <w:fldChar w:fldCharType="end"/>
      </w:r>
      <w:r>
        <w:rPr>
          <w:rFonts w:hint="default" w:ascii="Times New Roman" w:hAnsi="Times New Roman" w:eastAsia="楷体_GB2312" w:cs="Times New Roman"/>
          <w:lang w:val="en-US"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pPr>
      <w:r>
        <w:rPr>
          <w:rFonts w:hint="default" w:ascii="Times New Roman" w:hAnsi="Times New Roman" w:eastAsia="楷体_GB2312" w:cs="Times New Roman"/>
          <w:lang w:val="en-US" w:eastAsia="zh-CN"/>
        </w:rPr>
        <w:fldChar w:fldCharType="begin"/>
      </w:r>
      <w:r>
        <w:rPr>
          <w:rFonts w:hint="default" w:ascii="Times New Roman" w:hAnsi="Times New Roman" w:eastAsia="楷体_GB2312" w:cs="Times New Roman"/>
          <w:lang w:val="en-US" w:eastAsia="zh-CN"/>
        </w:rPr>
        <w:instrText xml:space="preserve"> HYPERLINK \l _Toc3323 </w:instrText>
      </w:r>
      <w:r>
        <w:rPr>
          <w:rFonts w:hint="default" w:ascii="Times New Roman" w:hAnsi="Times New Roman" w:eastAsia="楷体_GB2312" w:cs="Times New Roman"/>
          <w:lang w:val="en-US" w:eastAsia="zh-CN"/>
        </w:rPr>
        <w:fldChar w:fldCharType="separate"/>
      </w:r>
      <w:r>
        <w:rPr>
          <w:rFonts w:hint="default" w:ascii="Times New Roman" w:hAnsi="Times New Roman" w:eastAsia="楷体_GB2312" w:cs="Times New Roman"/>
        </w:rPr>
        <w:t>专栏</w:t>
      </w:r>
      <w:r>
        <w:rPr>
          <w:rFonts w:hint="default" w:ascii="Times New Roman" w:hAnsi="Times New Roman" w:eastAsia="楷体_GB2312" w:cs="Times New Roman"/>
          <w:lang w:val="en-US" w:eastAsia="zh-CN"/>
        </w:rPr>
        <w:t>13</w:t>
      </w:r>
      <w:r>
        <w:rPr>
          <w:rFonts w:hint="default" w:ascii="Times New Roman" w:hAnsi="Times New Roman" w:eastAsia="楷体_GB2312" w:cs="Times New Roman"/>
        </w:rPr>
        <w:t xml:space="preserve"> </w:t>
      </w:r>
      <w:r>
        <w:rPr>
          <w:rFonts w:hint="default" w:ascii="Times New Roman" w:hAnsi="Times New Roman" w:eastAsia="楷体_GB2312" w:cs="Times New Roman"/>
          <w:lang w:val="en-US" w:eastAsia="zh-CN"/>
        </w:rPr>
        <w:t>社会民生领域</w:t>
      </w:r>
      <w:r>
        <w:rPr>
          <w:rFonts w:hint="default" w:ascii="Times New Roman" w:hAnsi="Times New Roman" w:eastAsia="楷体_GB2312" w:cs="Times New Roman"/>
        </w:rPr>
        <w:t>重点项目</w:t>
      </w:r>
      <w:r>
        <w:rPr>
          <w:rFonts w:hint="default" w:ascii="Times New Roman" w:hAnsi="Times New Roman" w:eastAsia="楷体_GB2312" w:cs="Times New Roman"/>
        </w:rPr>
        <w:tab/>
      </w:r>
      <w:r>
        <w:rPr>
          <w:rFonts w:hint="default" w:ascii="Times New Roman" w:hAnsi="Times New Roman" w:eastAsia="楷体_GB2312" w:cs="Times New Roman"/>
        </w:rPr>
        <w:fldChar w:fldCharType="begin"/>
      </w:r>
      <w:r>
        <w:rPr>
          <w:rFonts w:hint="default" w:ascii="Times New Roman" w:hAnsi="Times New Roman" w:eastAsia="楷体_GB2312" w:cs="Times New Roman"/>
        </w:rPr>
        <w:instrText xml:space="preserve"> PAGEREF _Toc3323 \h </w:instrText>
      </w:r>
      <w:r>
        <w:rPr>
          <w:rFonts w:hint="default" w:ascii="Times New Roman" w:hAnsi="Times New Roman" w:eastAsia="楷体_GB2312" w:cs="Times New Roman"/>
        </w:rPr>
        <w:fldChar w:fldCharType="separate"/>
      </w:r>
      <w:r>
        <w:rPr>
          <w:rFonts w:hint="default" w:ascii="Times New Roman" w:hAnsi="Times New Roman" w:eastAsia="楷体_GB2312" w:cs="Times New Roman"/>
        </w:rPr>
        <w:t>107</w:t>
      </w:r>
      <w:r>
        <w:rPr>
          <w:rFonts w:hint="default" w:ascii="Times New Roman" w:hAnsi="Times New Roman" w:eastAsia="楷体_GB2312" w:cs="Times New Roman"/>
        </w:rPr>
        <w:fldChar w:fldCharType="end"/>
      </w:r>
      <w:r>
        <w:rPr>
          <w:rFonts w:hint="default" w:ascii="Times New Roman" w:hAnsi="Times New Roman" w:eastAsia="楷体_GB2312" w:cs="Times New Roman"/>
          <w:lang w:val="en-US" w:eastAsia="zh-CN"/>
        </w:rPr>
        <w:fldChar w:fldCharType="end"/>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hint="default" w:cs="Times New Roman"/>
          <w:lang w:val="en-US" w:eastAsia="zh-CN"/>
        </w:rPr>
        <w:fldChar w:fldCharType="end"/>
      </w:r>
    </w:p>
    <w:p>
      <w:pPr>
        <w:pStyle w:val="2"/>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简体" w:cs="Times New Roman"/>
          <w:sz w:val="32"/>
          <w:szCs w:val="32"/>
          <w:highlight w:val="none"/>
          <w:lang w:val="en-US" w:eastAsia="zh-CN"/>
        </w:rPr>
      </w:pPr>
      <w:bookmarkStart w:id="4" w:name="_Toc20234"/>
      <w:r>
        <w:rPr>
          <w:rFonts w:hint="default" w:ascii="Times New Roman" w:hAnsi="Times New Roman" w:eastAsia="方正小标宋简体" w:cs="Times New Roman"/>
          <w:sz w:val="32"/>
          <w:szCs w:val="32"/>
          <w:highlight w:val="none"/>
          <w:lang w:val="en-US" w:eastAsia="zh-CN"/>
        </w:rPr>
        <w:t>前  言</w:t>
      </w:r>
      <w:bookmarkEnd w:id="4"/>
    </w:p>
    <w:p>
      <w:pPr>
        <w:rPr>
          <w:rFonts w:hint="default" w:ascii="Times New Roman" w:hAnsi="Times New Roman" w:cs="Times New Roman"/>
          <w:lang w:val="en-US" w:eastAsia="zh-CN"/>
        </w:rPr>
      </w:pPr>
      <w:r>
        <w:rPr>
          <w:rFonts w:hint="default" w:ascii="Times New Roman" w:hAnsi="Times New Roman" w:cs="Times New Roman"/>
          <w:lang w:val="en-US" w:eastAsia="zh-CN"/>
        </w:rPr>
        <w:t>“十五五”时期（2026-2030年）是我国在全面建成小康社会基础上，迈向基本实现社会主义现代化新征程的重要阶段，是基本实现社会主义现代化夯实基础、全面发力的关键时期，也是潘集区积极推进“一城三区”建设，构建“1+4+N”现代化产业体系，加快转入高质量发展轨道的关键五年。《潘集区国民经济和社会发展第十五个五年规划纲要》是潘集区未来五年乃至更长一个时期经济社会发展的蓝图和总体部署，也是制定和实施各类专项规划的关键参考</w:t>
      </w:r>
      <w:r>
        <w:rPr>
          <w:rFonts w:hint="default" w:cs="Times New Roman"/>
          <w:lang w:val="en-US" w:eastAsia="zh-CN"/>
        </w:rPr>
        <w:t>。</w:t>
      </w:r>
      <w:r>
        <w:rPr>
          <w:rFonts w:hint="default" w:ascii="Times New Roman" w:hAnsi="Times New Roman" w:cs="Times New Roman"/>
          <w:lang w:val="en-US" w:eastAsia="zh-CN"/>
        </w:rPr>
        <w:t>本次规划全面总结“十四五”取得的成效及存在的不足，深入分析当前和未来一段时间国内外发展环境变化，准确把握自身区情和阶段性特征，厘清发展思路、明确目标任务、提出重大举措，为全面建设现代化美好潘集奠定坚实基础。</w:t>
      </w:r>
      <w:r>
        <w:rPr>
          <w:rFonts w:hint="default" w:ascii="Times New Roman" w:hAnsi="Times New Roman" w:cs="Times New Roman"/>
          <w:lang w:val="en-US" w:eastAsia="zh-CN"/>
        </w:rPr>
        <w:br w:type="page"/>
      </w:r>
    </w:p>
    <w:p>
      <w:pPr>
        <w:pStyle w:val="2"/>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highlight w:val="none"/>
          <w:lang w:val="en-US" w:eastAsia="zh-CN"/>
        </w:rPr>
      </w:pPr>
      <w:bookmarkStart w:id="5" w:name="_Toc22506"/>
      <w:r>
        <w:rPr>
          <w:rFonts w:hint="default" w:ascii="Times New Roman" w:hAnsi="Times New Roman" w:eastAsia="方正小标宋简体" w:cs="Times New Roman"/>
          <w:highlight w:val="none"/>
          <w:lang w:val="en-US" w:eastAsia="zh-CN"/>
        </w:rPr>
        <w:t>第一章 把握新阶段，资源型城市转型发展再创辉煌</w:t>
      </w:r>
      <w:bookmarkEnd w:id="5"/>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6" w:name="_Toc15873"/>
      <w:r>
        <w:rPr>
          <w:rFonts w:hint="default" w:ascii="Times New Roman" w:hAnsi="Times New Roman" w:eastAsia="黑体" w:cs="Times New Roman"/>
          <w:b w:val="0"/>
          <w:bCs/>
          <w:lang w:val="en-US" w:eastAsia="zh-CN"/>
        </w:rPr>
        <w:t>第一节 “十四五”发展成就</w:t>
      </w:r>
      <w:bookmarkEnd w:id="6"/>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一、经济实力在追赶超越中稳中有进</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十四五”期间，主要经济指标运行总体平稳，稳中有进。2024年，地区生产总值突破300亿元大关，达到300.2亿元，比上年增长4.4%。人均地区生产总值增长至94024元，三次产业结构由2020年的9.9:65.5:24.6调整为2024年的7.9:61.5:30.6；完成区属固定资产投资78.4亿元，较2020年增加10.5亿元；全区民营企业达到5592家，较2020年增加1282家；实现社会消费品零售总额51亿元，较2020年增加10亿元；引进亿元以上省外项目资金额51.15亿元，较2020年增加10.35亿元；进出口总额实现2643万美元。</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二、产业质效在转型升级中持续提升</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工业发展稳步提升，2024年全区规上工业企业达到94家，规上工业增加值从2020年130.6亿元增长至2024年的185.4亿元</w:t>
      </w:r>
      <w:r>
        <w:rPr>
          <w:rFonts w:hint="eastAsia" w:cs="Times New Roman"/>
          <w:lang w:val="en-US" w:eastAsia="zh-CN"/>
        </w:rPr>
        <w:t>，</w:t>
      </w:r>
      <w:r>
        <w:rPr>
          <w:rFonts w:hint="default" w:ascii="Times New Roman" w:hAnsi="Times New Roman" w:cs="Times New Roman"/>
          <w:lang w:val="en-US" w:eastAsia="zh-CN"/>
        </w:rPr>
        <w:t>战略性新兴产业产值90.6亿元，高技术产业产值</w:t>
      </w:r>
      <w:r>
        <w:rPr>
          <w:rFonts w:hint="default" w:cs="Times New Roman"/>
          <w:lang w:val="en-US" w:eastAsia="zh-CN"/>
        </w:rPr>
        <w:t>达到</w:t>
      </w:r>
      <w:r>
        <w:rPr>
          <w:rFonts w:hint="default" w:ascii="Times New Roman" w:hAnsi="Times New Roman" w:cs="Times New Roman"/>
          <w:lang w:val="en-US" w:eastAsia="zh-CN"/>
        </w:rPr>
        <w:t>1.96亿元</w:t>
      </w:r>
      <w:r>
        <w:rPr>
          <w:rFonts w:hint="eastAsia" w:cs="Times New Roman"/>
          <w:lang w:val="en-US" w:eastAsia="zh-CN"/>
        </w:rPr>
        <w:t>；</w:t>
      </w:r>
      <w:r>
        <w:rPr>
          <w:rFonts w:hint="default" w:ascii="Times New Roman" w:hAnsi="Times New Roman" w:cs="Times New Roman"/>
          <w:lang w:val="en-US" w:eastAsia="zh-CN"/>
        </w:rPr>
        <w:t>现代煤化工产业园取得突破性进展，国家级大宗固废物综合利用产业基地加快建设</w:t>
      </w:r>
      <w:r>
        <w:rPr>
          <w:rFonts w:hint="eastAsia" w:cs="Times New Roman"/>
          <w:lang w:val="en-US" w:eastAsia="zh-CN"/>
        </w:rPr>
        <w:t>，</w:t>
      </w:r>
      <w:r>
        <w:rPr>
          <w:rFonts w:hint="default" w:ascii="Times New Roman" w:hAnsi="Times New Roman" w:cs="Times New Roman"/>
          <w:lang w:val="en-US" w:eastAsia="zh-CN"/>
        </w:rPr>
        <w:t>潘集经开区入选全省新材料十强园区</w:t>
      </w:r>
      <w:r>
        <w:rPr>
          <w:rFonts w:hint="default" w:cs="Times New Roman"/>
          <w:lang w:val="en-US" w:eastAsia="zh-CN"/>
        </w:rPr>
        <w:t>，</w:t>
      </w:r>
      <w:r>
        <w:rPr>
          <w:rFonts w:hint="default" w:ascii="Times New Roman" w:hAnsi="Times New Roman" w:cs="Times New Roman"/>
          <w:lang w:val="en-US" w:eastAsia="zh-CN"/>
        </w:rPr>
        <w:t>潘东制造园初具规模，潘集电厂一期投产，平圩电厂四期、潘集电厂二期快速推进</w:t>
      </w:r>
      <w:r>
        <w:rPr>
          <w:rFonts w:hint="eastAsia" w:cs="Times New Roman"/>
          <w:lang w:val="en-US" w:eastAsia="zh-CN"/>
        </w:rPr>
        <w:t>，</w:t>
      </w:r>
      <w:r>
        <w:rPr>
          <w:rFonts w:hint="default" w:ascii="Times New Roman" w:hAnsi="Times New Roman" w:cs="Times New Roman"/>
          <w:lang w:val="en-US" w:eastAsia="zh-CN"/>
        </w:rPr>
        <w:t>“一区多园”格局</w:t>
      </w:r>
      <w:r>
        <w:rPr>
          <w:rFonts w:hint="default" w:cs="Times New Roman"/>
          <w:lang w:val="en-US" w:eastAsia="zh-CN"/>
        </w:rPr>
        <w:t>雏形显现</w:t>
      </w:r>
      <w:r>
        <w:rPr>
          <w:rFonts w:hint="default" w:ascii="Times New Roman" w:hAnsi="Times New Roman" w:cs="Times New Roman"/>
          <w:lang w:val="en-US" w:eastAsia="zh-CN"/>
        </w:rPr>
        <w:t>。</w:t>
      </w:r>
      <w:r>
        <w:rPr>
          <w:rFonts w:hint="default" w:cs="Times New Roman"/>
          <w:lang w:val="en-US" w:eastAsia="zh-CN"/>
        </w:rPr>
        <w:t>科技</w:t>
      </w:r>
      <w:r>
        <w:rPr>
          <w:rFonts w:hint="default" w:ascii="Times New Roman" w:hAnsi="Times New Roman" w:cs="Times New Roman"/>
          <w:lang w:val="en-US" w:eastAsia="zh-CN"/>
        </w:rPr>
        <w:t>创新</w:t>
      </w:r>
      <w:r>
        <w:rPr>
          <w:rFonts w:hint="default" w:cs="Times New Roman"/>
          <w:lang w:val="en-US" w:eastAsia="zh-CN"/>
        </w:rPr>
        <w:t>能力</w:t>
      </w:r>
      <w:r>
        <w:rPr>
          <w:rFonts w:hint="default" w:ascii="Times New Roman" w:hAnsi="Times New Roman" w:cs="Times New Roman"/>
          <w:lang w:val="en-US" w:eastAsia="zh-CN"/>
        </w:rPr>
        <w:t>不断</w:t>
      </w:r>
      <w:r>
        <w:rPr>
          <w:rFonts w:hint="default" w:cs="Times New Roman"/>
          <w:lang w:val="en-US" w:eastAsia="zh-CN"/>
        </w:rPr>
        <w:t>提升</w:t>
      </w:r>
      <w:r>
        <w:rPr>
          <w:rFonts w:hint="default" w:ascii="Times New Roman" w:hAnsi="Times New Roman" w:cs="Times New Roman"/>
          <w:lang w:val="en-US" w:eastAsia="zh-CN"/>
        </w:rPr>
        <w:t>，</w:t>
      </w:r>
      <w:r>
        <w:rPr>
          <w:rFonts w:hint="default" w:cs="Times New Roman"/>
          <w:lang w:val="en-US" w:eastAsia="zh-CN"/>
        </w:rPr>
        <w:t>2024年</w:t>
      </w:r>
      <w:r>
        <w:rPr>
          <w:rFonts w:hint="default" w:ascii="Times New Roman" w:hAnsi="Times New Roman" w:cs="Times New Roman"/>
          <w:lang w:val="en-US" w:eastAsia="zh-CN"/>
        </w:rPr>
        <w:t>每万人口发明专利拥有量达3.88件，同比增长22%。</w:t>
      </w:r>
      <w:r>
        <w:rPr>
          <w:rFonts w:hint="eastAsia" w:cs="Times New Roman"/>
          <w:lang w:val="en-US" w:eastAsia="zh-CN"/>
        </w:rPr>
        <w:t>创新主体数量不断壮大，</w:t>
      </w:r>
      <w:r>
        <w:rPr>
          <w:rFonts w:hint="default" w:ascii="Times New Roman" w:hAnsi="Times New Roman" w:cs="Times New Roman"/>
          <w:lang w:val="en-US" w:eastAsia="zh-CN"/>
        </w:rPr>
        <w:t>“十四五”期间，全区高新技术企业从4家增至14家，实现数量翻番；科技型中小企业评价入库数量爆发式增长</w:t>
      </w:r>
      <w:r>
        <w:rPr>
          <w:rFonts w:hint="default" w:cs="Times New Roman"/>
          <w:lang w:val="en-US" w:eastAsia="zh-CN"/>
        </w:rPr>
        <w:t>，</w:t>
      </w:r>
      <w:r>
        <w:rPr>
          <w:rFonts w:hint="default" w:ascii="Times New Roman" w:hAnsi="Times New Roman" w:cs="Times New Roman"/>
          <w:lang w:val="en-US" w:eastAsia="zh-CN"/>
        </w:rPr>
        <w:t>从2022年的9家跃升至2024年的36家；2024年新增创新型中小企业7家、省级专精特新企业1家。创新平台与团队建设</w:t>
      </w:r>
      <w:r>
        <w:rPr>
          <w:rFonts w:hint="default" w:cs="Times New Roman"/>
          <w:lang w:val="en-US" w:eastAsia="zh-CN"/>
        </w:rPr>
        <w:t>成效显著</w:t>
      </w:r>
      <w:r>
        <w:rPr>
          <w:rFonts w:hint="default" w:ascii="Times New Roman" w:hAnsi="Times New Roman" w:cs="Times New Roman"/>
          <w:lang w:val="en-US" w:eastAsia="zh-CN"/>
        </w:rPr>
        <w:t>，企业研发机构数量达到17家，实现亿元以上规上制造业企业研发活动全覆盖；安理工与东辰集团共同成立安徽煤系固废物综合利用与采煤沉陷区综合治理研究总院，中国工程院院士袁亮任院长；方朝晖博士工作站成立</w:t>
      </w:r>
      <w:r>
        <w:rPr>
          <w:rFonts w:hint="default" w:cs="Times New Roman"/>
          <w:lang w:val="en-US" w:eastAsia="zh-CN"/>
        </w:rPr>
        <w:t>运行，</w:t>
      </w:r>
      <w:r>
        <w:rPr>
          <w:rFonts w:hint="default" w:ascii="Times New Roman" w:hAnsi="Times New Roman" w:cs="Times New Roman"/>
          <w:lang w:val="en-US" w:eastAsia="zh-CN"/>
        </w:rPr>
        <w:t>潘集工匠学院顺利揭牌。支柱产业数字化转型卓有成效，潘集电厂入选全省“5G+工业互联网”十大创新应用，智慧园区项目入选煤炭行业数字矿区（园区）建设典型案例。</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三、改革开放在奋力突破中再创佳绩</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重点领域改革蹄疾步稳，新一轮政府机构改革全面完成，零基预算改革扩大到全区所有预算单位</w:t>
      </w:r>
      <w:r>
        <w:rPr>
          <w:rFonts w:hint="eastAsia" w:cs="Times New Roman"/>
          <w:lang w:val="en-US" w:eastAsia="zh-CN"/>
        </w:rPr>
        <w:t>。</w:t>
      </w:r>
      <w:r>
        <w:rPr>
          <w:rFonts w:hint="default" w:ascii="Times New Roman" w:hAnsi="Times New Roman" w:cs="Times New Roman"/>
          <w:lang w:val="en-US" w:eastAsia="zh-CN"/>
        </w:rPr>
        <w:t>《潘集区国企改革深化提升行动实施方案》等文件公开发布，国有资产监管效能不断提升。全区国土空间规划布局定位总体方案基本完成，11个乡镇街道国土空间规划编制全面推进。2024年全区处置批而未供、闲置、低效“三类土地”940余亩。自然资源节约集约示范县（市）顺利通过中期评估，获得300亩建设用地激励指标。</w:t>
      </w:r>
      <w:r>
        <w:rPr>
          <w:rFonts w:hint="default" w:ascii="Times New Roman" w:hAnsi="Times New Roman" w:cs="Times New Roman"/>
        </w:rPr>
        <w:t>创新搬迁安置新模式，推行房券安置，408户群众选购新房。</w:t>
      </w:r>
      <w:r>
        <w:rPr>
          <w:rFonts w:hint="default" w:ascii="Times New Roman" w:hAnsi="Times New Roman" w:cs="Times New Roman"/>
          <w:lang w:val="en-US" w:eastAsia="zh-CN"/>
        </w:rPr>
        <w:t>河湖长制工作持续推深做实，4处入淮排污口环保问题顺利通过市级验收。</w:t>
      </w:r>
      <w:r>
        <w:rPr>
          <w:rFonts w:hint="default" w:ascii="Times New Roman" w:hAnsi="Times New Roman" w:cs="Times New Roman"/>
        </w:rPr>
        <w:t>营商环境持续优化，实现全程网办“零跑腿”。积极推进“高效办成一件事”、惠企政策“免申即享”，成功上线12类“一件事”服务。</w:t>
      </w:r>
      <w:r>
        <w:rPr>
          <w:rFonts w:hint="default" w:ascii="Times New Roman" w:hAnsi="Times New Roman" w:cs="Times New Roman"/>
          <w:lang w:val="en-US" w:eastAsia="zh-CN"/>
        </w:rPr>
        <w:t>社会信用体系建设卓有成效，积极推广“信易贷”平台。长三角一体化发展扎实推进，与无锡市梁溪区、合肥市瑶海区、上海市闵行区吴泾镇战略合作持续加强，东部战区总医院副院长、少将主任医师任建安一行来潘对接交流并开展义诊活动。项目量质齐升，“十四五”期间，全区共签约招商引资项目134个，新开工招商引资项目52个，总投资规模88.52亿元。</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四</w:t>
      </w:r>
      <w:r>
        <w:rPr>
          <w:rFonts w:hint="default" w:ascii="Times New Roman" w:hAnsi="Times New Roman" w:cs="Times New Roman"/>
          <w:highlight w:val="none"/>
          <w:lang w:val="en-US" w:eastAsia="zh-CN"/>
        </w:rPr>
        <w:t>、</w:t>
      </w:r>
      <w:r>
        <w:rPr>
          <w:rFonts w:hint="eastAsia" w:cs="Times New Roman"/>
          <w:highlight w:val="none"/>
          <w:lang w:val="en-US" w:eastAsia="zh-CN"/>
        </w:rPr>
        <w:t>城市面貌</w:t>
      </w:r>
      <w:r>
        <w:rPr>
          <w:rFonts w:hint="default" w:ascii="Times New Roman" w:hAnsi="Times New Roman" w:cs="Times New Roman"/>
          <w:lang w:val="en-US" w:eastAsia="zh-CN"/>
        </w:rPr>
        <w:t>在大力改造中加速焕新</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城市老旧小区改造加力加速，“十四五”时期，全区</w:t>
      </w:r>
      <w:r>
        <w:rPr>
          <w:rFonts w:hint="eastAsia" w:ascii="Times New Roman" w:hAnsi="Times New Roman" w:cs="Times New Roman"/>
          <w:lang w:val="en-US" w:eastAsia="zh-CN"/>
        </w:rPr>
        <w:t>顺利</w:t>
      </w:r>
      <w:r>
        <w:rPr>
          <w:rFonts w:hint="default" w:ascii="Times New Roman" w:hAnsi="Times New Roman" w:cs="Times New Roman"/>
          <w:lang w:val="en-US" w:eastAsia="zh-CN"/>
        </w:rPr>
        <w:t>实施</w:t>
      </w:r>
      <w:r>
        <w:rPr>
          <w:rFonts w:hint="default" w:cs="Times New Roman"/>
          <w:lang w:val="en-US" w:eastAsia="zh-CN"/>
        </w:rPr>
        <w:t>完</w:t>
      </w:r>
      <w:r>
        <w:rPr>
          <w:rFonts w:hint="default" w:ascii="Times New Roman" w:hAnsi="Times New Roman" w:cs="Times New Roman"/>
          <w:lang w:val="en-US" w:eastAsia="zh-CN"/>
        </w:rPr>
        <w:t>西南片27个小区、8个独立项目及彩虹小区、代大郢小区二次提升改造等</w:t>
      </w:r>
      <w:r>
        <w:rPr>
          <w:rFonts w:hint="eastAsia" w:ascii="Times New Roman" w:hAnsi="Times New Roman" w:cs="Times New Roman"/>
          <w:lang w:val="en-US" w:eastAsia="zh-CN"/>
        </w:rPr>
        <w:t>一批</w:t>
      </w:r>
      <w:r>
        <w:rPr>
          <w:rFonts w:hint="default" w:ascii="Times New Roman" w:hAnsi="Times New Roman" w:cs="Times New Roman"/>
          <w:lang w:val="en-US" w:eastAsia="zh-CN"/>
        </w:rPr>
        <w:t>项目，覆盖超1.2万户居民，同步完成33个小区雨污分流改造，竣工棚户区改造项目1392套，建设保障性租赁住房18个项目共8252套，四年累计完成危房改造92户。城市功能品质不断提升，泥河路、峨眉山路等道路项目顺利完成，长江路、黄山路等多条道路的市政设施维修、绿化升级、路灯节能改造及出入口改造成功实施，凤潘次高压项目和燃气管道老化更新改造全力推进；新建市政消防栓70个，公共停车泊位1102个，充电桩80个；建成7个政府驻地和9个村级的污水处理厂站，完成芦集镇再生水厂改扩建项目；新建黄山南路等多个街头游园、小游园，城区居住品质和基础设施水平不断提升。</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五、乡村建设在融合发展中不断振兴</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农业生产增产增效，2024年全年粮食种植面积55473.3公顷，粮食总产达35.12万吨，比“十三五”末增长4.1%。已建成15万亩部级绿色小麦生产基地和10万亩部级绿色大豆生产基地</w:t>
      </w:r>
      <w:r>
        <w:rPr>
          <w:rFonts w:hint="eastAsia" w:cs="Times New Roman"/>
          <w:lang w:val="en-US" w:eastAsia="zh-CN"/>
        </w:rPr>
        <w:t>。</w:t>
      </w:r>
      <w:r>
        <w:rPr>
          <w:rFonts w:hint="default" w:ascii="Times New Roman" w:hAnsi="Times New Roman" w:cs="Times New Roman"/>
          <w:lang w:val="en-US" w:eastAsia="zh-CN"/>
        </w:rPr>
        <w:t>农业产业</w:t>
      </w:r>
      <w:r>
        <w:rPr>
          <w:rFonts w:hint="eastAsia" w:cs="Times New Roman"/>
          <w:lang w:val="en-US" w:eastAsia="zh-CN"/>
        </w:rPr>
        <w:t>化</w:t>
      </w:r>
      <w:r>
        <w:rPr>
          <w:rFonts w:hint="default" w:ascii="Times New Roman" w:hAnsi="Times New Roman" w:cs="Times New Roman"/>
          <w:lang w:val="en-US" w:eastAsia="zh-CN"/>
        </w:rPr>
        <w:t>蓬勃发展，全区拥有39家</w:t>
      </w:r>
      <w:r>
        <w:rPr>
          <w:rFonts w:hint="eastAsia" w:cs="Times New Roman"/>
          <w:lang w:val="en-US" w:eastAsia="zh-CN"/>
        </w:rPr>
        <w:t>规上</w:t>
      </w:r>
      <w:r>
        <w:rPr>
          <w:rFonts w:hint="default" w:ascii="Times New Roman" w:hAnsi="Times New Roman" w:cs="Times New Roman"/>
          <w:lang w:val="en-US" w:eastAsia="zh-CN"/>
        </w:rPr>
        <w:t>农产品加工企业，产值占全市总量</w:t>
      </w:r>
      <w:r>
        <w:rPr>
          <w:rFonts w:hint="eastAsia" w:cs="Times New Roman"/>
          <w:lang w:val="en-US" w:eastAsia="zh-CN"/>
        </w:rPr>
        <w:t>及</w:t>
      </w:r>
      <w:r>
        <w:rPr>
          <w:rFonts w:hint="default" w:ascii="Times New Roman" w:hAnsi="Times New Roman" w:cs="Times New Roman"/>
          <w:lang w:val="en-US" w:eastAsia="zh-CN"/>
        </w:rPr>
        <w:t>增幅</w:t>
      </w:r>
      <w:r>
        <w:rPr>
          <w:rFonts w:hint="eastAsia" w:cs="Times New Roman"/>
          <w:lang w:val="en-US" w:eastAsia="zh-CN"/>
        </w:rPr>
        <w:t>均居</w:t>
      </w:r>
      <w:r>
        <w:rPr>
          <w:rFonts w:hint="default" w:ascii="Times New Roman" w:hAnsi="Times New Roman" w:cs="Times New Roman"/>
          <w:lang w:val="en-US" w:eastAsia="zh-CN"/>
        </w:rPr>
        <w:t>全市第三位</w:t>
      </w:r>
      <w:r>
        <w:rPr>
          <w:rFonts w:hint="eastAsia" w:cs="Times New Roman"/>
          <w:lang w:val="en-US" w:eastAsia="zh-CN"/>
        </w:rPr>
        <w:t>；</w:t>
      </w:r>
      <w:r>
        <w:rPr>
          <w:rFonts w:hint="default" w:ascii="Times New Roman" w:hAnsi="Times New Roman" w:cs="Times New Roman"/>
          <w:lang w:val="en-US" w:eastAsia="zh-CN"/>
        </w:rPr>
        <w:t>拥有国家级农业园区1个、省级农业园区2个，各类特色精品园区10余家</w:t>
      </w:r>
      <w:r>
        <w:rPr>
          <w:rFonts w:hint="eastAsia" w:cs="Times New Roman"/>
          <w:lang w:val="en-US" w:eastAsia="zh-CN"/>
        </w:rPr>
        <w:t>，</w:t>
      </w:r>
      <w:r>
        <w:rPr>
          <w:rFonts w:hint="default" w:ascii="Times New Roman" w:hAnsi="Times New Roman" w:cs="Times New Roman"/>
          <w:lang w:val="en-US" w:eastAsia="zh-CN"/>
        </w:rPr>
        <w:t>国家级水产健康养殖场4个</w:t>
      </w:r>
      <w:r>
        <w:rPr>
          <w:rFonts w:hint="eastAsia" w:cs="Times New Roman"/>
          <w:lang w:val="en-US" w:eastAsia="zh-CN"/>
        </w:rPr>
        <w:t>；</w:t>
      </w:r>
      <w:r>
        <w:rPr>
          <w:rFonts w:hint="default" w:ascii="Times New Roman" w:hAnsi="Times New Roman" w:cs="Times New Roman"/>
          <w:highlight w:val="none"/>
          <w:lang w:val="en-US" w:eastAsia="zh-CN"/>
        </w:rPr>
        <w:t>累计</w:t>
      </w:r>
      <w:r>
        <w:rPr>
          <w:rFonts w:hint="default" w:ascii="Times New Roman" w:hAnsi="Times New Roman" w:cs="Times New Roman"/>
          <w:lang w:val="en-US" w:eastAsia="zh-CN"/>
        </w:rPr>
        <w:t>创建长三角绿色食品农产品加工供应基</w:t>
      </w:r>
      <w:r>
        <w:rPr>
          <w:rFonts w:hint="default" w:ascii="Times New Roman" w:hAnsi="Times New Roman" w:cs="Times New Roman"/>
          <w:highlight w:val="none"/>
          <w:lang w:val="en-US" w:eastAsia="zh-CN"/>
        </w:rPr>
        <w:t>地建成5个</w:t>
      </w:r>
      <w:r>
        <w:rPr>
          <w:rFonts w:hint="eastAsia" w:cs="Times New Roman"/>
          <w:highlight w:val="none"/>
          <w:lang w:val="en-US" w:eastAsia="zh-CN"/>
        </w:rPr>
        <w:t>。</w:t>
      </w:r>
      <w:r>
        <w:rPr>
          <w:rFonts w:hint="eastAsia" w:cs="Times New Roman"/>
          <w:lang w:val="en-US" w:eastAsia="zh-CN"/>
        </w:rPr>
        <w:t>农业品牌建设不断加快</w:t>
      </w:r>
      <w:r>
        <w:rPr>
          <w:rFonts w:hint="default" w:ascii="Times New Roman" w:hAnsi="Times New Roman" w:cs="Times New Roman"/>
          <w:lang w:val="en-US" w:eastAsia="zh-CN"/>
        </w:rPr>
        <w:t>，认证绿色农产品33个</w:t>
      </w:r>
      <w:r>
        <w:rPr>
          <w:rFonts w:hint="eastAsia" w:cs="Times New Roman"/>
          <w:highlight w:val="none"/>
          <w:lang w:val="en-US" w:eastAsia="zh-CN"/>
        </w:rPr>
        <w:t>、</w:t>
      </w:r>
      <w:r>
        <w:rPr>
          <w:rFonts w:hint="default" w:ascii="Times New Roman" w:hAnsi="Times New Roman" w:cs="Times New Roman"/>
          <w:highlight w:val="none"/>
          <w:lang w:val="en-US" w:eastAsia="zh-CN"/>
        </w:rPr>
        <w:t>有机农产品5个</w:t>
      </w:r>
      <w:r>
        <w:rPr>
          <w:rFonts w:hint="eastAsia" w:cs="Times New Roman"/>
          <w:highlight w:val="none"/>
          <w:lang w:val="en-US" w:eastAsia="zh-CN"/>
        </w:rPr>
        <w:t>、</w:t>
      </w:r>
      <w:r>
        <w:rPr>
          <w:rFonts w:hint="default" w:ascii="Times New Roman" w:hAnsi="Times New Roman" w:cs="Times New Roman"/>
          <w:lang w:val="en-US" w:eastAsia="zh-CN"/>
        </w:rPr>
        <w:t>“皖美农品”区域公共品牌1个和产品品牌6个、“淮畔良品”2个</w:t>
      </w:r>
      <w:r>
        <w:rPr>
          <w:rFonts w:hint="eastAsia" w:cs="Times New Roman"/>
          <w:lang w:val="en-US" w:eastAsia="zh-CN"/>
        </w:rPr>
        <w:t>，</w:t>
      </w:r>
      <w:r>
        <w:rPr>
          <w:rFonts w:hint="default" w:ascii="Times New Roman" w:hAnsi="Times New Roman" w:cs="Times New Roman"/>
          <w:lang w:val="en-US" w:eastAsia="zh-CN"/>
        </w:rPr>
        <w:t>“潘集酥瓜”、“店集贡米”获批国家地理标志农产品。农文旅活力不断提升，武庙生态园、架河许家岗现代农业园等一批休闲娱乐、生态旅游场所建成运营。</w:t>
      </w:r>
      <w:r>
        <w:rPr>
          <w:rFonts w:hint="eastAsia" w:cs="Times New Roman"/>
          <w:lang w:val="en-US" w:eastAsia="zh-CN"/>
        </w:rPr>
        <w:t>和美乡村建设加快推进，完成全区各乡镇土地利用规划和乡镇总体规划编制工作，“十四五”期间，新建省级中心村30个、在建精品示范村建设3个，村庄整治完成率达到88%，卫生厕所普及率达87.27%，淮河流域潘集段、泥河流域全面完成农村黑臭水体排查整治行动。</w:t>
      </w:r>
      <w:r>
        <w:rPr>
          <w:rFonts w:hint="default" w:ascii="Times New Roman" w:hAnsi="Times New Roman" w:cs="Times New Roman"/>
          <w:lang w:val="en-US" w:eastAsia="zh-CN"/>
        </w:rPr>
        <w:t>脱贫攻坚成果持续巩固，2021年以来共纳入监测对象973户2648人，已消除风险660户1785人，全区没有出现返贫和新的致贫，牢牢守住不发生规模性返贫底线。</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六、民生福祉在全面保障中可感可及</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现代化教育体系加快构建，在全省先行先试“5+4”办学模式改革，持续推进素质教育、</w:t>
      </w:r>
      <w:r>
        <w:rPr>
          <w:rFonts w:hint="eastAsia" w:ascii="Times New Roman" w:hAnsi="Times New Roman" w:cs="Times New Roman"/>
          <w:lang w:val="en-US" w:eastAsia="zh-CN"/>
        </w:rPr>
        <w:t>重点</w:t>
      </w:r>
      <w:r>
        <w:rPr>
          <w:rFonts w:hint="default" w:ascii="Times New Roman" w:hAnsi="Times New Roman" w:cs="Times New Roman"/>
          <w:lang w:val="en-US" w:eastAsia="zh-CN"/>
        </w:rPr>
        <w:t>扶持特殊教育；2022年潘集工程技术中等专业学校整建制划入淮南联合大学，成立淮南联大潘集校区，2023年淮南新材料产业学院在淮南联大潘集校区正式挂牌，教育资源</w:t>
      </w:r>
      <w:r>
        <w:rPr>
          <w:rFonts w:hint="eastAsia" w:cs="Times New Roman"/>
          <w:lang w:val="en-US" w:eastAsia="zh-CN"/>
        </w:rPr>
        <w:t>实现</w:t>
      </w:r>
      <w:r>
        <w:rPr>
          <w:rFonts w:hint="default" w:ascii="Times New Roman" w:hAnsi="Times New Roman" w:cs="Times New Roman"/>
          <w:lang w:val="en-US" w:eastAsia="zh-CN"/>
        </w:rPr>
        <w:t>进一步均衡。健康潘集建设稳步推进，2023年安理大一附院（淮南市第一人民医院）潘集分院、淮南市中医院医联体潘集分院相继揭牌；率先在全市建立市、区、镇、村四级健康管理联合体，成为全省唯一“健康中国中风识别行动”试点县区；以高皇镇中心卫生院和祁集镇卫生院为试点，率先建立慢病健康管理中心，创新“1支专科团队+N支签约团队”家庭医生签约服务模式。社会救助体系不断完善，“十四五”以来，最低生活保障月保障标准城市低保提高至784元/人，农村低保提高至755元/人，较“十三五”末分别增长22%、17%，全区累计使用和发放各类民政领域社会救助资金3.9774亿元。养老服务体系不断健全，“十四五”期间，全区累计发放高龄津贴0.1754亿余元，惠及54万名老年人；统筹资金改造提升5家敬老院，建成3家养老机构（社会办占比67%），完成569户特殊困难老年人居家适老化改造，泥河镇柳叶社区创成全省示范性老年友好型社区。社会福利体系不断优化，全区所有乡镇（街道）和村（居）实现督导员和儿童保护专干全覆盖，全面落实残疾人两项补贴，累计发放补贴4139.3295万元，惠及困难残疾人和重度残疾528797人次。</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七、生态环境在高效治理中显著改善</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提前完成“十四五”期间GDP能耗降低任务。空气质量明显改善，截至2024年底，潘集区PM2.5平均浓度为45微克每立方米、累计下降6.25%（同期全市PM2.5平均浓度下降4.76%）；优良率为73.7%，累计提升7.1%（同期全市优良率累计提升2.5%）。水环境质量</w:t>
      </w:r>
      <w:r>
        <w:rPr>
          <w:rFonts w:hint="eastAsia" w:ascii="Times New Roman" w:hAnsi="Times New Roman" w:cs="Times New Roman"/>
          <w:lang w:val="en-US" w:eastAsia="zh-CN"/>
        </w:rPr>
        <w:t>持续优化</w:t>
      </w:r>
      <w:r>
        <w:rPr>
          <w:rFonts w:hint="default" w:ascii="Times New Roman" w:hAnsi="Times New Roman" w:cs="Times New Roman"/>
          <w:lang w:val="en-US" w:eastAsia="zh-CN"/>
        </w:rPr>
        <w:t>，2024年全区2个省考断面水体优良比例100%，全区1个县级（袁庄）及以上集中式饮用水水源地水质达标率</w:t>
      </w:r>
      <w:r>
        <w:rPr>
          <w:rFonts w:hint="eastAsia" w:ascii="Times New Roman" w:hAnsi="Times New Roman" w:cs="Times New Roman"/>
          <w:lang w:val="en-US" w:eastAsia="zh-CN"/>
        </w:rPr>
        <w:t>实现</w:t>
      </w:r>
      <w:r>
        <w:rPr>
          <w:rFonts w:hint="default" w:ascii="Times New Roman" w:hAnsi="Times New Roman" w:cs="Times New Roman"/>
          <w:lang w:val="en-US" w:eastAsia="zh-CN"/>
        </w:rPr>
        <w:t>100%，1个县级及以上饮用水水源地和2个乡镇级饮用水水源地保护区划定工作</w:t>
      </w:r>
      <w:r>
        <w:rPr>
          <w:rFonts w:hint="eastAsia" w:ascii="Times New Roman" w:hAnsi="Times New Roman" w:cs="Times New Roman"/>
          <w:lang w:val="en-US" w:eastAsia="zh-CN"/>
        </w:rPr>
        <w:t>圆满</w:t>
      </w:r>
      <w:r>
        <w:rPr>
          <w:rFonts w:hint="default" w:ascii="Times New Roman" w:hAnsi="Times New Roman" w:cs="Times New Roman"/>
          <w:lang w:val="en-US" w:eastAsia="zh-CN"/>
        </w:rPr>
        <w:t>完成。土壤质量不断提升，“十四五”以来</w:t>
      </w:r>
      <w:r>
        <w:rPr>
          <w:rFonts w:hint="eastAsia" w:ascii="Times New Roman" w:hAnsi="Times New Roman" w:cs="Times New Roman"/>
          <w:lang w:val="en-US" w:eastAsia="zh-CN"/>
        </w:rPr>
        <w:t>，根据目标要求顺利</w:t>
      </w:r>
      <w:r>
        <w:rPr>
          <w:rFonts w:hint="default" w:ascii="Times New Roman" w:hAnsi="Times New Roman" w:cs="Times New Roman"/>
          <w:lang w:val="en-US" w:eastAsia="zh-CN"/>
        </w:rPr>
        <w:t>完成18个行政村农村生活污水治理任务、15个农村环境整治任务、26条农村黑臭水体治理任务以及10个乡镇驻地污水处理设施提质增效任务。生态修复</w:t>
      </w:r>
      <w:r>
        <w:rPr>
          <w:rFonts w:hint="eastAsia" w:cs="Times New Roman"/>
          <w:lang w:val="en-US" w:eastAsia="zh-CN"/>
        </w:rPr>
        <w:t>有序</w:t>
      </w:r>
      <w:r>
        <w:rPr>
          <w:rFonts w:hint="default" w:ascii="Times New Roman" w:hAnsi="Times New Roman" w:cs="Times New Roman"/>
          <w:lang w:val="en-US" w:eastAsia="zh-CN"/>
        </w:rPr>
        <w:t>推进，“十四五”期间，全区谋划32个生态修复项目。林业增绿增效行动</w:t>
      </w:r>
      <w:r>
        <w:rPr>
          <w:rFonts w:hint="eastAsia" w:ascii="Times New Roman" w:hAnsi="Times New Roman" w:cs="Times New Roman"/>
          <w:lang w:val="en-US" w:eastAsia="zh-CN"/>
        </w:rPr>
        <w:t>深入</w:t>
      </w:r>
      <w:r>
        <w:rPr>
          <w:rFonts w:hint="default" w:ascii="Times New Roman" w:hAnsi="Times New Roman" w:cs="Times New Roman"/>
          <w:lang w:val="en-US" w:eastAsia="zh-CN"/>
        </w:rPr>
        <w:t>实施，2024年完成人工造林720亩，农田林网庇护面积</w:t>
      </w:r>
      <w:r>
        <w:rPr>
          <w:rFonts w:hint="eastAsia" w:ascii="Times New Roman" w:hAnsi="Times New Roman" w:cs="Times New Roman"/>
          <w:lang w:val="en-US" w:eastAsia="zh-CN"/>
        </w:rPr>
        <w:t>已达</w:t>
      </w:r>
      <w:r>
        <w:rPr>
          <w:rFonts w:hint="default" w:ascii="Times New Roman" w:hAnsi="Times New Roman" w:cs="Times New Roman"/>
          <w:lang w:val="en-US" w:eastAsia="zh-CN"/>
        </w:rPr>
        <w:t>10000亩，完成森林抚育面积2000亩</w:t>
      </w:r>
      <w:r>
        <w:rPr>
          <w:rFonts w:hint="eastAsia" w:ascii="Times New Roman" w:hAnsi="Times New Roman" w:cs="Times New Roman"/>
          <w:lang w:val="en-US" w:eastAsia="zh-CN"/>
        </w:rPr>
        <w:t>、</w:t>
      </w:r>
      <w:r>
        <w:rPr>
          <w:rFonts w:hint="default" w:ascii="Times New Roman" w:hAnsi="Times New Roman" w:cs="Times New Roman"/>
          <w:lang w:val="en-US" w:eastAsia="zh-CN"/>
        </w:rPr>
        <w:t>退化林修复面积2000亩。煤炭清洁化转型加速，“十四五”期间完成4家燃煤电厂超低排放改造，淘汰35蒸吨以下燃煤锅炉4台。</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八、社会治理在依法依规中更加有力</w:t>
      </w:r>
    </w:p>
    <w:p>
      <w:pPr>
        <w:bidi w:val="0"/>
        <w:rPr>
          <w:rFonts w:hint="default" w:ascii="Times New Roman" w:hAnsi="Times New Roman" w:cs="Times New Roman"/>
          <w:highlight w:val="none"/>
          <w:lang w:val="en-US" w:eastAsia="zh-CN"/>
        </w:rPr>
      </w:pPr>
      <w:r>
        <w:rPr>
          <w:rFonts w:hint="default" w:ascii="Times New Roman" w:hAnsi="Times New Roman" w:cs="Times New Roman"/>
          <w:lang w:val="en-US" w:eastAsia="zh-CN"/>
        </w:rPr>
        <w:t>矛盾纠纷多元化解持续深化，“1+3+8”制度体系建立</w:t>
      </w:r>
      <w:r>
        <w:rPr>
          <w:rFonts w:hint="default" w:cs="Times New Roman"/>
          <w:lang w:val="en-US" w:eastAsia="zh-CN"/>
        </w:rPr>
        <w:t>健全，</w:t>
      </w:r>
      <w:r>
        <w:rPr>
          <w:rFonts w:hint="default" w:ascii="Times New Roman" w:hAnsi="Times New Roman" w:cs="Times New Roman"/>
          <w:lang w:val="en-US" w:eastAsia="zh-CN"/>
        </w:rPr>
        <w:t>“十四五”期间，扎实推进“三社联动”试点建设，引导居民自觉、自主地参与社区事务管理，“六尺巷工作法”</w:t>
      </w:r>
      <w:r>
        <w:rPr>
          <w:rFonts w:hint="eastAsia" w:cs="Times New Roman"/>
          <w:lang w:val="en-US" w:eastAsia="zh-CN"/>
        </w:rPr>
        <w:t>实现多元运用</w:t>
      </w:r>
      <w:r>
        <w:rPr>
          <w:rFonts w:hint="default" w:ascii="Times New Roman" w:hAnsi="Times New Roman" w:cs="Times New Roman"/>
          <w:lang w:val="en-US" w:eastAsia="zh-CN"/>
        </w:rPr>
        <w:t>，积极打造“银龄调解室”“‘孔大姐’婚姻家庭矛盾纠纷调解工作室”“全国人大代表刘琴综治工作室”“‘和盼’矛盾调解工作室”等品牌调解室，其中“‘孔大姐’婚姻家庭矛盾纠纷调解工作室”成功获评“首批省级‘皖家平</w:t>
      </w:r>
      <w:r>
        <w:rPr>
          <w:rFonts w:hint="default" w:ascii="Times New Roman" w:hAnsi="Times New Roman" w:cs="Times New Roman"/>
          <w:highlight w:val="none"/>
          <w:lang w:val="en-US" w:eastAsia="zh-CN"/>
        </w:rPr>
        <w:t>安’婚姻家庭纠纷调解示范室”。“雪亮工程”建设不断深入，全区</w:t>
      </w:r>
      <w:r>
        <w:rPr>
          <w:rFonts w:hint="eastAsia" w:ascii="Times New Roman" w:hAnsi="Times New Roman" w:cs="Times New Roman"/>
          <w:highlight w:val="none"/>
          <w:lang w:val="en-US" w:eastAsia="zh-CN"/>
        </w:rPr>
        <w:t>新增</w:t>
      </w:r>
      <w:r>
        <w:rPr>
          <w:rFonts w:hint="default" w:ascii="Times New Roman" w:hAnsi="Times New Roman" w:cs="Times New Roman"/>
          <w:highlight w:val="none"/>
          <w:lang w:val="en-US" w:eastAsia="zh-CN"/>
        </w:rPr>
        <w:t>治安探头2000个左右，</w:t>
      </w:r>
      <w:r>
        <w:rPr>
          <w:rFonts w:hint="default" w:cs="Times New Roman"/>
          <w:highlight w:val="none"/>
          <w:lang w:val="en-US" w:eastAsia="zh-CN"/>
        </w:rPr>
        <w:t>全部</w:t>
      </w:r>
      <w:r>
        <w:rPr>
          <w:rFonts w:hint="default" w:ascii="Times New Roman" w:hAnsi="Times New Roman" w:cs="Times New Roman"/>
          <w:highlight w:val="none"/>
          <w:lang w:val="en-US" w:eastAsia="zh-CN"/>
        </w:rPr>
        <w:t>接入区综治中心信息指挥平台。网格化治理提标扩面，全区588个网格划分全面完成，区政府安排专项资金200余万元公开招聘55名专职网格员</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网格员队伍</w:t>
      </w:r>
      <w:r>
        <w:rPr>
          <w:rFonts w:hint="default" w:cs="Times New Roman"/>
          <w:highlight w:val="none"/>
          <w:lang w:val="en-US" w:eastAsia="zh-CN"/>
        </w:rPr>
        <w:t>建设不断强化</w:t>
      </w:r>
      <w:r>
        <w:rPr>
          <w:rFonts w:hint="default" w:ascii="Times New Roman" w:hAnsi="Times New Roman" w:cs="Times New Roman"/>
          <w:highlight w:val="none"/>
          <w:lang w:val="en-US" w:eastAsia="zh-CN"/>
        </w:rPr>
        <w:t>，</w:t>
      </w:r>
      <w:r>
        <w:rPr>
          <w:rFonts w:hint="default" w:cs="Times New Roman"/>
          <w:highlight w:val="none"/>
        </w:rPr>
        <w:t>“法律明白人”培育工程</w:t>
      </w:r>
      <w:r>
        <w:rPr>
          <w:rFonts w:hint="eastAsia" w:ascii="Times New Roman" w:hAnsi="Times New Roman" w:cs="Times New Roman"/>
          <w:highlight w:val="none"/>
          <w:lang w:val="en-US" w:eastAsia="zh-CN"/>
        </w:rPr>
        <w:t>全面开展</w:t>
      </w:r>
      <w:r>
        <w:rPr>
          <w:rFonts w:hint="eastAsia" w:cs="Times New Roman"/>
          <w:highlight w:val="none"/>
          <w:lang w:val="en-US" w:eastAsia="zh-CN"/>
        </w:rPr>
        <w:t>，覆盖</w:t>
      </w:r>
      <w:r>
        <w:rPr>
          <w:rFonts w:hint="default" w:ascii="Times New Roman" w:hAnsi="Times New Roman" w:cs="Times New Roman"/>
          <w:highlight w:val="none"/>
          <w:lang w:val="en-US" w:eastAsia="zh-CN"/>
        </w:rPr>
        <w:t>全区238名网格员</w:t>
      </w:r>
      <w:r>
        <w:rPr>
          <w:rFonts w:hint="default" w:cs="Times New Roman"/>
          <w:highlight w:val="none"/>
          <w:lang w:val="en-US" w:eastAsia="zh-CN"/>
        </w:rPr>
        <w:t>，</w:t>
      </w:r>
      <w:r>
        <w:rPr>
          <w:rFonts w:hint="default" w:cs="Times New Roman"/>
          <w:highlight w:val="none"/>
        </w:rPr>
        <w:t>切实筑牢维护社会和谐稳定“第一道防线”</w:t>
      </w:r>
      <w:r>
        <w:rPr>
          <w:rFonts w:hint="default" w:cs="Times New Roman"/>
          <w:highlight w:val="none"/>
          <w:lang w:val="en-US" w:eastAsia="zh-CN"/>
        </w:rPr>
        <w:t>。</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7" w:name="_Toc23685"/>
      <w:r>
        <w:rPr>
          <w:rFonts w:hint="default" w:ascii="Times New Roman" w:hAnsi="Times New Roman" w:eastAsia="黑体" w:cs="Times New Roman"/>
          <w:b w:val="0"/>
          <w:bCs/>
          <w:lang w:val="en-US" w:eastAsia="zh-CN"/>
        </w:rPr>
        <w:t>第二节 “十五五”发展环境</w:t>
      </w:r>
      <w:bookmarkEnd w:id="7"/>
    </w:p>
    <w:p>
      <w:pPr>
        <w:pStyle w:val="4"/>
        <w:bidi w:val="0"/>
        <w:rPr>
          <w:rFonts w:hint="default"/>
          <w:lang w:val="en-US" w:eastAsia="zh-CN"/>
        </w:rPr>
      </w:pPr>
      <w:r>
        <w:rPr>
          <w:rFonts w:hint="default"/>
          <w:lang w:val="en-US" w:eastAsia="zh-CN"/>
        </w:rPr>
        <w:t>一、面临形势</w:t>
      </w:r>
    </w:p>
    <w:p>
      <w:pPr>
        <w:rPr>
          <w:rFonts w:hint="default" w:cs="Times New Roman"/>
          <w:b w:val="0"/>
          <w:bCs w:val="0"/>
          <w:lang w:val="en-US" w:eastAsia="zh-CN"/>
        </w:rPr>
      </w:pPr>
      <w:r>
        <w:rPr>
          <w:rFonts w:hint="default" w:cs="Times New Roman"/>
          <w:b w:val="0"/>
          <w:bCs w:val="0"/>
          <w:lang w:val="en-US" w:eastAsia="zh-CN"/>
        </w:rPr>
        <w:t>当前，世界百年未有之大变局加速演进，世界之变、时代之变、历史之变的特征更加明显，置身国际国内发展大背景、大环境、大格局，潘集区既迎来重要发展战略机遇期，也面临短板与挑战，需加强前瞻性思考和战略性谋划，锚定目标、坚定信心，与时俱进、开拓创新，深刻把握历史方位和发展阶段，力求在激烈的区域竞争中赢得先机、赢得主动、赢得未来。</w:t>
      </w:r>
    </w:p>
    <w:p>
      <w:pPr>
        <w:rPr>
          <w:rFonts w:hint="default" w:cs="Times New Roman"/>
          <w:b/>
          <w:bCs/>
          <w:lang w:val="en-US" w:eastAsia="zh-CN"/>
        </w:rPr>
      </w:pPr>
      <w:r>
        <w:rPr>
          <w:rFonts w:hint="default" w:cs="Times New Roman"/>
          <w:b/>
          <w:bCs/>
          <w:lang w:val="en-US" w:eastAsia="zh-CN"/>
        </w:rPr>
        <w:t>从全球看，</w:t>
      </w:r>
      <w:r>
        <w:rPr>
          <w:rFonts w:hint="default" w:cs="Times New Roman"/>
          <w:b w:val="0"/>
          <w:bCs w:val="0"/>
          <w:lang w:val="en-US" w:eastAsia="zh-CN"/>
        </w:rPr>
        <w:t>近年来国际环境更加错综复杂，外部冲击影响加大，不稳定、不确定、难预料因素依然比较多，各种“黑天鹅”“灰犀牛”事件随时可能发生，世界呈现更加复杂的变化关系。据国际货币基金组织预测，未来5年全球经济增长率为3%，创1990年以来最低纪录。大国之间政治经济博弈更加激烈，经济全球化遭遇逆流，单边主义、保护主义逆流涌动，对国际经贸秩序造成严重冲击，发达国家纷纷推进“再工业化”，推动高端制造业回流，全球产业链重组、供应链重塑、价值链重构不断深化。从科技竞争看，新一轮科技革命和产业变革迅猛发展，世界主要国家都在抢占科技创新制高点，全球创新版图加快重构，国际分工体系和全球价值链面临重塑，政治安全、意识形态等非市场因素深度嵌入国际产业分工逻辑，影响全球产业链供应链稳定。</w:t>
      </w:r>
    </w:p>
    <w:p>
      <w:pPr>
        <w:bidi w:val="0"/>
        <w:rPr>
          <w:rFonts w:hint="default" w:cs="Times New Roman"/>
          <w:b/>
          <w:bCs/>
          <w:lang w:val="en-US" w:eastAsia="zh-CN"/>
        </w:rPr>
      </w:pPr>
      <w:r>
        <w:rPr>
          <w:rFonts w:hint="default" w:cs="Times New Roman"/>
          <w:b/>
          <w:bCs/>
          <w:lang w:val="en-US" w:eastAsia="zh-CN"/>
        </w:rPr>
        <w:t>从全国看，</w:t>
      </w:r>
      <w:r>
        <w:rPr>
          <w:rFonts w:hint="default" w:cs="Times New Roman"/>
          <w:b w:val="0"/>
          <w:bCs w:val="0"/>
          <w:lang w:val="en-US" w:eastAsia="zh-CN"/>
        </w:rPr>
        <w:t>“十五五”时期是我国基本实现社会主义现代化夯实基础、全面发力的关键时期，也是我国经济增长由由投资和出口驱动为主向创新和消费驱动为主转变的关键时期。</w:t>
      </w:r>
      <w:r>
        <w:rPr>
          <w:rFonts w:hint="default" w:cs="Times New Roman"/>
          <w:b/>
          <w:bCs/>
          <w:lang w:val="en-US" w:eastAsia="zh-CN"/>
        </w:rPr>
        <w:t>宏观政策持续发力、适时加力</w:t>
      </w:r>
      <w:r>
        <w:rPr>
          <w:rFonts w:hint="default" w:cs="Times New Roman"/>
          <w:b w:val="0"/>
          <w:bCs w:val="0"/>
          <w:lang w:val="en-US" w:eastAsia="zh-CN"/>
        </w:rPr>
        <w:t>。充分释放政策效应，落实落细更加积极的财政政策和适度宽松的货币政策，加快政府债券发行使用，提高资金使用效率，兜牢基层“三保”底线，推动货币政策保持流动性充裕，促进社会综合融资成本下行，用好各项结构性货币政策工具，加力支持科技创新、提振消费、小微企业、稳定外贸等，坚持扩大内需，深入实施提振消费专项行动，高质量推动“两重”建设，激发民间投资活力，扩大有效投资。</w:t>
      </w:r>
      <w:r>
        <w:rPr>
          <w:rFonts w:hint="default" w:cs="Times New Roman"/>
          <w:b/>
          <w:bCs/>
          <w:lang w:val="en-US" w:eastAsia="zh-CN"/>
        </w:rPr>
        <w:t>因地制宜发展新质生产力摆在更加突出的战略位置。</w:t>
      </w:r>
      <w:r>
        <w:rPr>
          <w:rFonts w:hint="default" w:cs="Times New Roman"/>
          <w:b w:val="0"/>
          <w:bCs w:val="0"/>
          <w:lang w:val="en-US" w:eastAsia="zh-CN"/>
        </w:rPr>
        <w:t>加快发展新质生产力，以新质生产力全面赋能现代化产业体系建设，是突破传统经济增长瓶颈的重要抓手，在技术革命性突破、生产要素创新性配置、产业深度转型升级的协同驱动下，发展新质生产力是推动现代化产业体系建设的必由之路。这就要求中国企业既需以数智化转型激活传统产业发展效能，又需以迭代式创新壮大新兴产业发展动能，更需以颠覆式突破释放未来产业发展潜能，在新质生产力的全面赋能下加快建设现代化产业体系。</w:t>
      </w:r>
      <w:r>
        <w:rPr>
          <w:rFonts w:hint="default" w:cs="Times New Roman"/>
          <w:b/>
          <w:bCs/>
          <w:lang w:val="en-US" w:eastAsia="zh-CN"/>
        </w:rPr>
        <w:t>以国内大循环为主体的双循环发展格局向纵深推进。</w:t>
      </w:r>
      <w:r>
        <w:rPr>
          <w:rFonts w:hint="default" w:cs="Times New Roman"/>
          <w:b w:val="0"/>
          <w:bCs w:val="0"/>
          <w:lang w:val="en-US" w:eastAsia="zh-CN"/>
        </w:rPr>
        <w:t>以国内市场为主体，深入实施全国统一大市场建设指引，持续夯实国内大循环，同时提升国际循环质量和水平，扩大高水平对外开放，稳住外贸外资基本盘，针对受冲击较大的外贸企业，强化融资支持，在更高层次、更大范围深度参与全球产业分工和合作，促进内外贸一体化发展。</w:t>
      </w:r>
      <w:r>
        <w:rPr>
          <w:rFonts w:hint="default" w:cs="Times New Roman"/>
          <w:b/>
          <w:bCs/>
          <w:lang w:val="en-US" w:eastAsia="zh-CN"/>
        </w:rPr>
        <w:t>“双碳”目标引领经济社会发展全面绿色转型步伐加快。</w:t>
      </w:r>
      <w:r>
        <w:rPr>
          <w:rFonts w:hint="default" w:cs="Times New Roman"/>
          <w:b w:val="0"/>
          <w:bCs w:val="0"/>
          <w:lang w:val="en-US" w:eastAsia="zh-CN"/>
        </w:rPr>
        <w:t>我国低碳绿色产业快速增长，已成为全球最大的可再生能源生产者和消费者，在可再生能源累计装机容量、设备制造、绿色投资和市场发展等方面处于世界前列，在光伏、风电、储能、氢能、相关数字化技术等关键技术领域处在全面或局部领先的位置，“十五五”时期是绿色转型、美丽中国建设由理念到实践全面深化推进的关键时期，将从空间格局、产业结构、生产方式、生活方式等方面持续优化，加快推进人与自然和谐共生的现代化。</w:t>
      </w:r>
    </w:p>
    <w:p>
      <w:pPr>
        <w:rPr>
          <w:rFonts w:hint="default"/>
          <w:b w:val="0"/>
          <w:bCs w:val="0"/>
          <w:lang w:val="en-US" w:eastAsia="zh-CN"/>
        </w:rPr>
      </w:pPr>
      <w:r>
        <w:rPr>
          <w:rFonts w:hint="default" w:cs="Times New Roman"/>
          <w:b/>
          <w:bCs/>
          <w:lang w:val="en-US" w:eastAsia="zh-CN"/>
        </w:rPr>
        <w:t>从区域看，安徽省发挥多重国家发展战略叠加优势，在“三地一区”上持续发力。</w:t>
      </w:r>
      <w:r>
        <w:rPr>
          <w:rFonts w:hint="default" w:cs="Times New Roman"/>
          <w:b w:val="0"/>
          <w:bCs w:val="0"/>
          <w:lang w:val="en-US" w:eastAsia="zh-CN"/>
        </w:rPr>
        <w:t>作为长三角一体化发展、长江经济带发展、中部地区崛起、“一带一路”建设等国家战略叠加的省份，有条件以深入推进长三角一体化发展为牵引，服务融入多重国家发展战略。安徽省作为国家战略科技力量重要布局地，拥有合肥综合性国家科学中心、量子信息科学国家实验室等众多硬核科创平台，此外在科技赋能的引领下，安徽省制造业产业集群建设已站在新的历史起点上，在人工智能、新能源汽车、</w:t>
      </w:r>
      <w:r>
        <w:rPr>
          <w:rFonts w:hint="default"/>
          <w:b w:val="0"/>
          <w:bCs w:val="0"/>
          <w:lang w:val="en-US" w:eastAsia="zh-CN"/>
        </w:rPr>
        <w:t>先进光伏、新型储能、生命科学等一批战略性新兴产业和未来产业领域不断孕育新产品，有利于潘集借梯登高、借势发展，实现新兴产业聚链成群、集群成势。</w:t>
      </w:r>
      <w:r>
        <w:rPr>
          <w:rFonts w:hint="default"/>
          <w:b/>
          <w:bCs/>
          <w:lang w:val="en-US" w:eastAsia="zh-CN"/>
        </w:rPr>
        <w:t>淮南市有条件在开辟发展新领域新赛道上迈出更大步伐。</w:t>
      </w:r>
      <w:r>
        <w:rPr>
          <w:rFonts w:hint="default"/>
          <w:b w:val="0"/>
          <w:bCs w:val="0"/>
          <w:lang w:val="en-US" w:eastAsia="zh-CN"/>
        </w:rPr>
        <w:t>从区位层面，合淮一体化发展及皖北地区全面振兴等战略纵深实施，将导入更多优质资源和项目布局淮南。从产业层面，十四五”时期淮南市新能源汽车及零部件制造产业初具规模，光伏等新能源产业快速发展。从交通层面，引江济淮工程完成后，淮南将成为沟通长江、淮河两大黄金水道的重要枢纽，大宗工业品运输成本将大幅降低，有利于煤炭、粮食等大宗货物航运运输。这就要求潘集立足本土资源优势，积极与全市产业布局深度融合，突破交通瓶颈，深度融入合肥都市圈与长三角一体化。</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w:t>
      </w:r>
      <w:r>
        <w:rPr>
          <w:rFonts w:hint="default" w:cs="Times New Roman"/>
          <w:lang w:val="en-US" w:eastAsia="zh-CN"/>
        </w:rPr>
        <w:t>机遇与</w:t>
      </w:r>
      <w:r>
        <w:rPr>
          <w:rFonts w:hint="default" w:ascii="Times New Roman" w:hAnsi="Times New Roman" w:cs="Times New Roman"/>
          <w:lang w:val="en-US" w:eastAsia="zh-CN"/>
        </w:rPr>
        <w:t>挑战</w:t>
      </w:r>
    </w:p>
    <w:p>
      <w:pPr>
        <w:bidi w:val="0"/>
        <w:rPr>
          <w:rFonts w:hint="default" w:ascii="Times New Roman" w:hAnsi="Times New Roman" w:cs="Times New Roman"/>
          <w:lang w:val="en-US" w:eastAsia="zh-CN"/>
        </w:rPr>
      </w:pPr>
      <w:r>
        <w:rPr>
          <w:rFonts w:hint="default" w:ascii="Times New Roman" w:hAnsi="Times New Roman" w:eastAsia="楷体_GB2312" w:cs="Times New Roman"/>
          <w:b/>
          <w:bCs/>
          <w:lang w:val="en-US" w:eastAsia="zh-CN"/>
        </w:rPr>
        <w:t>一是新一轮科技革命催生新产业新模式新动能，有利于潘集</w:t>
      </w:r>
      <w:r>
        <w:rPr>
          <w:rFonts w:hint="default" w:eastAsia="楷体_GB2312" w:cs="Times New Roman"/>
          <w:b/>
          <w:bCs/>
          <w:lang w:val="en-US" w:eastAsia="zh-CN"/>
        </w:rPr>
        <w:t>培育战略性新兴产业</w:t>
      </w:r>
      <w:r>
        <w:rPr>
          <w:rFonts w:hint="default" w:ascii="Times New Roman" w:hAnsi="Times New Roman" w:eastAsia="楷体_GB2312" w:cs="Times New Roman"/>
          <w:b/>
          <w:bCs/>
          <w:lang w:val="en-US" w:eastAsia="zh-CN"/>
        </w:rPr>
        <w:t>。</w:t>
      </w:r>
      <w:r>
        <w:rPr>
          <w:rFonts w:hint="default" w:ascii="Times New Roman" w:hAnsi="Times New Roman" w:cs="Times New Roman"/>
          <w:lang w:val="en-US" w:eastAsia="zh-CN"/>
        </w:rPr>
        <w:t>“十五五”时期，人工智能、量子技术、生物技术、新能源等前沿技术加速迭代，重大颠覆性技术创新不断催生新产业新业态，新质生产力加快发展，有利于潘集区顺势而为、乘势而上，打造更多高能级科创平台，壮大提升新能源、新材料、高端装备制造等战略性新兴产业，布局低空经济、生物制造等未来产业，构建现代化产业体系。</w:t>
      </w:r>
    </w:p>
    <w:p>
      <w:pPr>
        <w:bidi w:val="0"/>
        <w:rPr>
          <w:rFonts w:hint="default" w:ascii="Times New Roman" w:hAnsi="Times New Roman" w:cs="Times New Roman"/>
          <w:lang w:val="en-US" w:eastAsia="zh-CN"/>
        </w:rPr>
      </w:pPr>
      <w:r>
        <w:rPr>
          <w:rFonts w:hint="default" w:ascii="Times New Roman" w:hAnsi="Times New Roman" w:eastAsia="楷体_GB2312" w:cs="Times New Roman"/>
          <w:b/>
          <w:bCs/>
          <w:lang w:val="en-US" w:eastAsia="zh-CN"/>
        </w:rPr>
        <w:t>二是我国经济长期向好的基本面没有变，系列政策红利不断释放，有利于潘集稳增长稳预期。</w:t>
      </w:r>
      <w:r>
        <w:rPr>
          <w:rFonts w:hint="default" w:ascii="Times New Roman" w:hAnsi="Times New Roman" w:cs="Times New Roman"/>
          <w:lang w:val="en-US" w:eastAsia="zh-CN"/>
        </w:rPr>
        <w:t>中央一揽子增量政策和存量政策持续发挥作用，随着“两重”项目建设、“两新”政策实施等重大举措加快推进，中央预算内投资、超长期特别国债等加力提效，安徽省专项债券“自审自发”试点改革全面加速，政策组合效应有望持续释放，有利于潘集在重大项目建设、城市更新、产业转型、生态治理修复等领域获得资金支持，有力推动交通、能源、农林、水利、城市等重大基础设施项目建设。</w:t>
      </w:r>
    </w:p>
    <w:p>
      <w:pPr>
        <w:bidi w:val="0"/>
        <w:rPr>
          <w:rFonts w:hint="default" w:ascii="Times New Roman" w:hAnsi="Times New Roman" w:eastAsia="仿宋_GB2312" w:cs="Times New Roman"/>
          <w:b w:val="0"/>
          <w:bCs w:val="0"/>
          <w:lang w:val="en-US" w:eastAsia="zh-CN"/>
        </w:rPr>
      </w:pPr>
      <w:r>
        <w:rPr>
          <w:rFonts w:hint="default" w:ascii="Times New Roman" w:hAnsi="Times New Roman" w:eastAsia="楷体_GB2312" w:cs="Times New Roman"/>
          <w:b/>
          <w:bCs/>
          <w:lang w:val="en-US" w:eastAsia="zh-CN"/>
        </w:rPr>
        <w:t>三是“双碳”目标下煤炭兜底保障作用持续增强，有利于</w:t>
      </w:r>
      <w:r>
        <w:rPr>
          <w:rFonts w:hint="default" w:eastAsia="楷体_GB2312" w:cs="Times New Roman"/>
          <w:b/>
          <w:bCs/>
          <w:lang w:val="en-US" w:eastAsia="zh-CN"/>
        </w:rPr>
        <w:t>潘集</w:t>
      </w:r>
      <w:r>
        <w:rPr>
          <w:rFonts w:hint="default" w:eastAsia="楷体_GB2312" w:cs="Times New Roman"/>
          <w:b/>
          <w:bCs/>
          <w:highlight w:val="none"/>
          <w:lang w:val="en-US" w:eastAsia="zh-CN"/>
        </w:rPr>
        <w:t>构建新型能源体系</w:t>
      </w:r>
      <w:r>
        <w:rPr>
          <w:rFonts w:hint="default" w:ascii="Times New Roman" w:hAnsi="Times New Roman" w:eastAsia="楷体_GB2312" w:cs="Times New Roman"/>
          <w:b/>
          <w:bCs/>
          <w:highlight w:val="none"/>
          <w:lang w:val="en-US" w:eastAsia="zh-CN"/>
        </w:rPr>
        <w:t>。</w:t>
      </w:r>
      <w:r>
        <w:rPr>
          <w:rFonts w:hint="default" w:ascii="Times New Roman" w:hAnsi="Times New Roman" w:eastAsia="仿宋_GB2312" w:cs="Times New Roman"/>
          <w:b w:val="0"/>
          <w:bCs w:val="0"/>
          <w:lang w:val="en-US" w:eastAsia="zh-CN"/>
        </w:rPr>
        <w:t>“十五五”时期煤炭作为我国主体能源的地位不会改变，在“消费逐渐减少”政策的驱动下主体能源的定位功能会小幅弱化，但助力碳达峰和提升兜底调节能力支持新型电力系统建设的作用会增强。</w:t>
      </w:r>
      <w:r>
        <w:rPr>
          <w:rFonts w:hint="default" w:ascii="Times New Roman" w:hAnsi="Times New Roman" w:cs="Times New Roman"/>
          <w:b w:val="0"/>
          <w:bCs w:val="0"/>
          <w:lang w:val="en-US" w:eastAsia="zh-CN"/>
        </w:rPr>
        <w:t>“十五五”时期潘集应持续稳住煤电基本盘，推进煤炭清洁低碳技术应用，提高能源利用率，加强与新能源</w:t>
      </w:r>
      <w:r>
        <w:rPr>
          <w:rFonts w:hint="default" w:cs="Times New Roman"/>
          <w:b w:val="0"/>
          <w:bCs w:val="0"/>
          <w:lang w:val="en-US" w:eastAsia="zh-CN"/>
        </w:rPr>
        <w:t>技术</w:t>
      </w:r>
      <w:r>
        <w:rPr>
          <w:rFonts w:hint="default" w:ascii="Times New Roman" w:hAnsi="Times New Roman" w:cs="Times New Roman"/>
          <w:b w:val="0"/>
          <w:bCs w:val="0"/>
          <w:lang w:val="en-US" w:eastAsia="zh-CN"/>
        </w:rPr>
        <w:t>的耦合。</w:t>
      </w:r>
    </w:p>
    <w:p>
      <w:pPr>
        <w:bidi w:val="0"/>
        <w:rPr>
          <w:rFonts w:hint="default" w:ascii="Times New Roman" w:hAnsi="Times New Roman" w:eastAsia="楷体_GB2312" w:cs="Times New Roman"/>
          <w:b/>
          <w:bCs/>
          <w:lang w:val="en-US" w:eastAsia="zh-CN"/>
        </w:rPr>
      </w:pPr>
      <w:r>
        <w:rPr>
          <w:rFonts w:hint="default" w:ascii="Times New Roman" w:hAnsi="Times New Roman" w:eastAsia="楷体_GB2312" w:cs="Times New Roman"/>
          <w:b/>
          <w:bCs/>
          <w:lang w:val="en-US" w:eastAsia="zh-CN"/>
        </w:rPr>
        <w:t>四是区域协调发展格局持续</w:t>
      </w:r>
      <w:r>
        <w:rPr>
          <w:rFonts w:hint="default" w:ascii="Times New Roman" w:hAnsi="Times New Roman" w:eastAsia="楷体_GB2312" w:cs="Times New Roman"/>
          <w:b/>
          <w:bCs/>
          <w:color w:val="auto"/>
          <w:lang w:val="en-US" w:eastAsia="zh-CN"/>
        </w:rPr>
        <w:t>加力，有利于潘集发挥区位优势</w:t>
      </w:r>
      <w:r>
        <w:rPr>
          <w:rFonts w:hint="default" w:ascii="Times New Roman" w:hAnsi="Times New Roman" w:eastAsia="楷体_GB2312" w:cs="Times New Roman"/>
          <w:b/>
          <w:bCs/>
          <w:lang w:val="en-US" w:eastAsia="zh-CN"/>
        </w:rPr>
        <w:t>。</w:t>
      </w:r>
      <w:r>
        <w:rPr>
          <w:rFonts w:hint="default" w:ascii="Times New Roman" w:hAnsi="Times New Roman" w:eastAsia="仿宋_GB2312" w:cs="Times New Roman"/>
          <w:b w:val="0"/>
          <w:bCs w:val="0"/>
          <w:lang w:val="en-US" w:eastAsia="zh-CN"/>
        </w:rPr>
        <w:t>随着长三角一体化、中部地区加快崛起、淮河生态经济带发展、合肥都市圈建设、皖北全面振兴等重大战略纵深推进，有利于潘集区发挥区位优势和产业优势，“融圈入群”“借梯登高”，推进项目对接、产业协作和服务融通，招引更多大项目好项目，在新一轮高水平对外开放和区域合作中提升发展位势。</w:t>
      </w:r>
    </w:p>
    <w:p>
      <w:pPr>
        <w:pageBreakBefore w:val="0"/>
        <w:kinsoku/>
        <w:wordWrap/>
        <w:overflowPunct/>
        <w:topLinePunct w:val="0"/>
        <w:autoSpaceDE/>
        <w:autoSpaceDN/>
        <w:bidi w:val="0"/>
        <w:adjustRightInd/>
        <w:spacing w:line="600" w:lineRule="exact"/>
        <w:textAlignment w:val="auto"/>
        <w:rPr>
          <w:rFonts w:hint="default" w:ascii="Times New Roman" w:hAnsi="Times New Roman" w:cs="Times New Roman"/>
          <w:b w:val="0"/>
          <w:bCs w:val="0"/>
          <w:color w:val="auto"/>
          <w:highlight w:val="none"/>
          <w:lang w:val="en-US" w:eastAsia="zh-CN"/>
        </w:rPr>
      </w:pPr>
      <w:r>
        <w:rPr>
          <w:rFonts w:hint="default" w:ascii="仿宋_GB2312" w:hAnsi="仿宋_GB2312" w:eastAsia="仿宋_GB2312" w:cs="仿宋_GB2312"/>
          <w:b w:val="0"/>
          <w:bCs w:val="0"/>
          <w:lang w:val="en-US" w:eastAsia="zh-CN"/>
        </w:rPr>
        <w:t>与此同时，“</w:t>
      </w:r>
      <w:r>
        <w:rPr>
          <w:rFonts w:hint="default" w:ascii="仿宋_GB2312" w:hAnsi="仿宋_GB2312" w:cs="仿宋_GB2312"/>
          <w:b w:val="0"/>
          <w:bCs w:val="0"/>
          <w:lang w:val="en-US" w:eastAsia="zh-CN"/>
        </w:rPr>
        <w:t>十五五</w:t>
      </w:r>
      <w:r>
        <w:rPr>
          <w:rFonts w:hint="default" w:ascii="仿宋_GB2312" w:hAnsi="仿宋_GB2312" w:eastAsia="仿宋_GB2312" w:cs="仿宋_GB2312"/>
          <w:b w:val="0"/>
          <w:bCs w:val="0"/>
          <w:lang w:val="en-US" w:eastAsia="zh-CN"/>
        </w:rPr>
        <w:t>”</w:t>
      </w:r>
      <w:r>
        <w:rPr>
          <w:rFonts w:hint="default" w:ascii="仿宋_GB2312" w:hAnsi="仿宋_GB2312" w:cs="仿宋_GB2312"/>
          <w:b w:val="0"/>
          <w:bCs w:val="0"/>
          <w:lang w:val="en-US" w:eastAsia="zh-CN"/>
        </w:rPr>
        <w:t>时期全区经济社会发展仍面临诸多困难与挑战。</w:t>
      </w:r>
      <w:r>
        <w:rPr>
          <w:rFonts w:hint="default" w:ascii="Times New Roman" w:hAnsi="Times New Roman" w:eastAsia="楷体_GB2312" w:cs="Times New Roman"/>
          <w:b/>
          <w:bCs/>
          <w:lang w:val="en-US" w:eastAsia="zh-CN"/>
        </w:rPr>
        <w:t>一是</w:t>
      </w:r>
      <w:r>
        <w:rPr>
          <w:rFonts w:hint="default" w:ascii="Times New Roman" w:hAnsi="Times New Roman" w:eastAsia="楷体_GB2312" w:cs="Times New Roman"/>
          <w:b/>
          <w:bCs/>
          <w:color w:val="auto"/>
          <w:lang w:val="en-US" w:eastAsia="zh-CN"/>
        </w:rPr>
        <w:t>宏观经济环境不容乐观，经济面临下行压力。</w:t>
      </w:r>
      <w:r>
        <w:rPr>
          <w:rFonts w:hint="default" w:ascii="Times New Roman" w:hAnsi="Times New Roman" w:cs="Times New Roman"/>
          <w:b w:val="0"/>
          <w:bCs w:val="0"/>
          <w:color w:val="auto"/>
          <w:lang w:val="en-US" w:eastAsia="zh-CN"/>
        </w:rPr>
        <w:t>“十五五”时期外部不稳定不确定因素将明显增多，大国之间政治经济博弈更加激烈，影响全球产业链供应链稳定。国内人口老龄化加剧、劳动力成本上升、资源环境约束趋紧等因素对经济可持续发展形成一定制约，</w:t>
      </w:r>
      <w:r>
        <w:rPr>
          <w:rFonts w:hint="default" w:cs="Times New Roman"/>
          <w:b w:val="0"/>
          <w:bCs w:val="0"/>
          <w:color w:val="auto"/>
          <w:lang w:val="en-US" w:eastAsia="zh-CN"/>
        </w:rPr>
        <w:t>此外，消费不足约束加大，名义增长低于实际增长，部分行业产能过剩压力突出，</w:t>
      </w:r>
      <w:r>
        <w:rPr>
          <w:rFonts w:hint="default" w:ascii="Times New Roman" w:hAnsi="Times New Roman" w:cs="Times New Roman"/>
          <w:b w:val="0"/>
          <w:bCs w:val="0"/>
          <w:color w:val="auto"/>
          <w:lang w:val="en-US" w:eastAsia="zh-CN"/>
        </w:rPr>
        <w:t>推动经济发展方式转变和结构调整迫在眉睫。</w:t>
      </w:r>
      <w:r>
        <w:rPr>
          <w:rFonts w:hint="default" w:ascii="Times New Roman" w:hAnsi="Times New Roman" w:eastAsia="楷体_GB2312" w:cs="Times New Roman"/>
          <w:b/>
          <w:bCs/>
          <w:lang w:val="en-US" w:eastAsia="zh-CN"/>
        </w:rPr>
        <w:t>二是新旧动能转化不畅，科创综合实力有待加强。</w:t>
      </w:r>
      <w:r>
        <w:rPr>
          <w:rFonts w:hint="default" w:ascii="Times New Roman" w:hAnsi="Times New Roman" w:cs="Times New Roman"/>
          <w:b w:val="0"/>
          <w:bCs w:val="0"/>
          <w:lang w:val="en-US" w:eastAsia="zh-CN"/>
        </w:rPr>
        <w:t>全区煤电占比过大的产业结构短期难以改变</w:t>
      </w:r>
      <w:r>
        <w:rPr>
          <w:rFonts w:hint="default" w:ascii="Times New Roman" w:hAnsi="Times New Roman" w:eastAsia="仿宋_GB2312" w:cs="Times New Roman"/>
          <w:b w:val="0"/>
          <w:bCs w:val="0"/>
          <w:lang w:val="en-US" w:eastAsia="zh-CN"/>
        </w:rPr>
        <w:t>，</w:t>
      </w:r>
      <w:r>
        <w:rPr>
          <w:rFonts w:hint="default" w:ascii="Times New Roman" w:hAnsi="Times New Roman" w:cs="Times New Roman"/>
          <w:b w:val="0"/>
          <w:bCs w:val="0"/>
          <w:lang w:val="en-US" w:eastAsia="zh-CN"/>
        </w:rPr>
        <w:t>战略性</w:t>
      </w:r>
      <w:r>
        <w:rPr>
          <w:rFonts w:hint="default" w:ascii="Times New Roman" w:hAnsi="Times New Roman" w:eastAsia="仿宋_GB2312" w:cs="Times New Roman"/>
          <w:b w:val="0"/>
          <w:bCs w:val="0"/>
          <w:lang w:val="en-US" w:eastAsia="zh-CN"/>
        </w:rPr>
        <w:t>新兴产业</w:t>
      </w:r>
      <w:r>
        <w:rPr>
          <w:rFonts w:hint="default" w:ascii="Times New Roman" w:hAnsi="Times New Roman" w:cs="Times New Roman"/>
          <w:b w:val="0"/>
          <w:bCs w:val="0"/>
          <w:lang w:val="en-US" w:eastAsia="zh-CN"/>
        </w:rPr>
        <w:t>培育</w:t>
      </w:r>
      <w:r>
        <w:rPr>
          <w:rFonts w:hint="default" w:ascii="Times New Roman" w:hAnsi="Times New Roman" w:eastAsia="仿宋_GB2312" w:cs="Times New Roman"/>
          <w:b w:val="0"/>
          <w:bCs w:val="0"/>
          <w:lang w:val="en-US" w:eastAsia="zh-CN"/>
        </w:rPr>
        <w:t>动能不足</w:t>
      </w:r>
      <w:r>
        <w:rPr>
          <w:rFonts w:hint="default" w:ascii="Times New Roman" w:hAnsi="Times New Roman" w:cs="Times New Roman"/>
          <w:b w:val="0"/>
          <w:bCs w:val="0"/>
          <w:lang w:val="en-US" w:eastAsia="zh-CN"/>
        </w:rPr>
        <w:t>，</w:t>
      </w:r>
      <w:r>
        <w:rPr>
          <w:rFonts w:hint="default" w:ascii="Times New Roman" w:hAnsi="Times New Roman" w:eastAsia="仿宋_GB2312" w:cs="Times New Roman"/>
          <w:b w:val="0"/>
          <w:bCs w:val="0"/>
          <w:lang w:val="en-US" w:eastAsia="zh-CN"/>
        </w:rPr>
        <w:t>高新技术企业</w:t>
      </w:r>
      <w:r>
        <w:rPr>
          <w:rFonts w:hint="default" w:ascii="Times New Roman" w:hAnsi="Times New Roman" w:cs="Times New Roman"/>
          <w:b w:val="0"/>
          <w:bCs w:val="0"/>
          <w:lang w:val="en-US" w:eastAsia="zh-CN"/>
        </w:rPr>
        <w:t>、科技型中小企业基数小，省级以上重大科技创新平台及高水平新型研发机构缺乏</w:t>
      </w:r>
      <w:r>
        <w:rPr>
          <w:rFonts w:hint="default" w:cs="Times New Roman"/>
          <w:b w:val="0"/>
          <w:bCs w:val="0"/>
          <w:lang w:val="en-US" w:eastAsia="zh-CN"/>
        </w:rPr>
        <w:t>，</w:t>
      </w:r>
      <w:r>
        <w:rPr>
          <w:rFonts w:hint="default" w:ascii="Times New Roman" w:hAnsi="Times New Roman" w:cs="Times New Roman"/>
          <w:b w:val="0"/>
          <w:bCs w:val="0"/>
          <w:lang w:val="en-US" w:eastAsia="zh-CN"/>
        </w:rPr>
        <w:t>研发经费投入相对不足</w:t>
      </w:r>
      <w:r>
        <w:rPr>
          <w:rFonts w:hint="default" w:cs="Times New Roman"/>
          <w:b w:val="0"/>
          <w:bCs w:val="0"/>
          <w:lang w:val="en-US" w:eastAsia="zh-CN"/>
        </w:rPr>
        <w:t>，</w:t>
      </w:r>
      <w:r>
        <w:rPr>
          <w:rFonts w:hint="default" w:ascii="Times New Roman" w:hAnsi="Times New Roman" w:cs="Times New Roman"/>
          <w:b w:val="0"/>
          <w:bCs w:val="0"/>
          <w:lang w:val="en-US" w:eastAsia="zh-CN"/>
        </w:rPr>
        <w:t>创新能力有待进一步加强。</w:t>
      </w:r>
      <w:r>
        <w:rPr>
          <w:rFonts w:hint="default" w:ascii="Times New Roman" w:hAnsi="Times New Roman" w:eastAsia="楷体_GB2312" w:cs="Times New Roman"/>
          <w:b/>
          <w:bCs/>
          <w:highlight w:val="none"/>
          <w:lang w:val="en-US" w:eastAsia="zh-CN"/>
        </w:rPr>
        <w:t>三是农业发展特而不强，</w:t>
      </w:r>
      <w:r>
        <w:rPr>
          <w:rFonts w:hint="default" w:ascii="Times New Roman" w:hAnsi="Times New Roman" w:eastAsia="楷体_GB2312" w:cs="Times New Roman"/>
          <w:b/>
          <w:bCs/>
          <w:lang w:val="en-US" w:eastAsia="zh-CN"/>
        </w:rPr>
        <w:t>城乡人居环境品质不高</w:t>
      </w:r>
      <w:r>
        <w:rPr>
          <w:rFonts w:hint="default" w:ascii="Times New Roman" w:hAnsi="Times New Roman" w:eastAsia="楷体_GB2312" w:cs="Times New Roman"/>
          <w:b/>
          <w:bCs/>
          <w:highlight w:val="none"/>
          <w:lang w:val="en-US" w:eastAsia="zh-CN"/>
        </w:rPr>
        <w:t>。</w:t>
      </w:r>
      <w:r>
        <w:rPr>
          <w:rFonts w:hint="default" w:ascii="Times New Roman" w:hAnsi="Times New Roman" w:cs="Times New Roman"/>
          <w:b w:val="0"/>
          <w:bCs w:val="0"/>
          <w:lang w:val="en-US" w:eastAsia="zh-CN"/>
        </w:rPr>
        <w:t>针对店集贡米和潘集酥瓜两个特色产业培育不足，农产品品牌知名度和市场占有率不高，全区省市级龙头企业</w:t>
      </w:r>
      <w:r>
        <w:rPr>
          <w:rFonts w:hint="default" w:cs="Times New Roman"/>
          <w:b w:val="0"/>
          <w:bCs w:val="0"/>
          <w:lang w:val="en-US" w:eastAsia="zh-CN"/>
        </w:rPr>
        <w:t>规模较小，</w:t>
      </w:r>
      <w:r>
        <w:rPr>
          <w:rFonts w:hint="default" w:ascii="Times New Roman" w:hAnsi="Times New Roman" w:cs="Times New Roman"/>
          <w:b w:val="0"/>
          <w:bCs w:val="0"/>
          <w:lang w:val="en-US" w:eastAsia="zh-CN"/>
        </w:rPr>
        <w:t>农业产业仍以传统产品和初加工为主。民生保障能力和水平还需提升，就业增收、教育医疗、养老托育等服务距离群众需求仍有差距，城市更新改造、农村公共服务供给、城乡融合发展等任务依然艰巨。</w:t>
      </w:r>
      <w:r>
        <w:rPr>
          <w:rFonts w:hint="default" w:ascii="Times New Roman" w:hAnsi="Times New Roman" w:eastAsia="楷体_GB2312" w:cs="Times New Roman"/>
          <w:b/>
          <w:bCs/>
          <w:color w:val="auto"/>
          <w:highlight w:val="none"/>
          <w:lang w:val="en-US" w:eastAsia="zh-CN"/>
        </w:rPr>
        <w:t>四是体制机制亟待突破，历史遗留问题依然较多。</w:t>
      </w:r>
      <w:r>
        <w:rPr>
          <w:rFonts w:hint="default" w:ascii="Times New Roman" w:hAnsi="Times New Roman" w:cs="Times New Roman"/>
          <w:b w:val="0"/>
          <w:bCs w:val="0"/>
          <w:color w:val="auto"/>
          <w:highlight w:val="none"/>
          <w:lang w:val="en-US" w:eastAsia="zh-CN"/>
        </w:rPr>
        <w:t>现行市区行政管理体制机制亟待改革优化，采煤沉陷区搬迁安置和生态修复、房地产领域历史遗留、节能环保和财政收支压力等问题亟需解决。</w:t>
      </w:r>
    </w:p>
    <w:p>
      <w:pPr>
        <w:bidi w:val="0"/>
        <w:rPr>
          <w:rFonts w:hint="default" w:ascii="Times New Roman" w:hAnsi="Times New Roman" w:cs="Times New Roman"/>
          <w:b w:val="0"/>
          <w:bCs w:val="0"/>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简体" w:cs="Times New Roman"/>
          <w:highlight w:val="none"/>
          <w:lang w:val="en-US" w:eastAsia="zh-CN"/>
        </w:rPr>
      </w:pPr>
      <w:bookmarkStart w:id="8" w:name="_Toc21968"/>
      <w:r>
        <w:rPr>
          <w:rFonts w:hint="default" w:ascii="Times New Roman" w:hAnsi="Times New Roman" w:eastAsia="方正小标宋简体" w:cs="Times New Roman"/>
          <w:highlight w:val="none"/>
          <w:lang w:val="en-US" w:eastAsia="zh-CN"/>
        </w:rPr>
        <w:t xml:space="preserve">第二章 </w:t>
      </w:r>
      <w:r>
        <w:rPr>
          <w:rFonts w:hint="eastAsia" w:eastAsia="方正小标宋简体" w:cs="Times New Roman"/>
          <w:highlight w:val="none"/>
          <w:lang w:val="en-US" w:eastAsia="zh-CN"/>
        </w:rPr>
        <w:t>明确</w:t>
      </w:r>
      <w:r>
        <w:rPr>
          <w:rFonts w:hint="default" w:ascii="Times New Roman" w:hAnsi="Times New Roman" w:eastAsia="方正小标宋简体" w:cs="Times New Roman"/>
          <w:highlight w:val="none"/>
          <w:lang w:val="en-US" w:eastAsia="zh-CN"/>
        </w:rPr>
        <w:t>新</w:t>
      </w:r>
      <w:r>
        <w:rPr>
          <w:rFonts w:hint="eastAsia" w:eastAsia="方正小标宋简体" w:cs="Times New Roman"/>
          <w:highlight w:val="none"/>
          <w:lang w:val="en-US" w:eastAsia="zh-CN"/>
        </w:rPr>
        <w:t>方位，</w:t>
      </w:r>
      <w:r>
        <w:rPr>
          <w:rFonts w:hint="default" w:ascii="Times New Roman" w:hAnsi="Times New Roman" w:eastAsia="方正小标宋简体" w:cs="Times New Roman"/>
          <w:highlight w:val="none"/>
          <w:lang w:val="en-US" w:eastAsia="zh-CN"/>
        </w:rPr>
        <w:t>建设社会主义现代化美好潘集总体思路</w:t>
      </w:r>
      <w:bookmarkEnd w:id="8"/>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bookmarkStart w:id="9" w:name="_Toc21975"/>
      <w:r>
        <w:rPr>
          <w:rFonts w:hint="default" w:ascii="Times New Roman" w:hAnsi="Times New Roman" w:eastAsia="黑体" w:cs="Times New Roman"/>
          <w:b w:val="0"/>
          <w:bCs/>
          <w:lang w:val="en-US" w:eastAsia="zh-CN"/>
        </w:rPr>
        <w:t>第一节 指导思想</w:t>
      </w:r>
      <w:bookmarkEnd w:id="9"/>
    </w:p>
    <w:p>
      <w:pPr>
        <w:pageBreakBefore w:val="0"/>
        <w:kinsoku/>
        <w:wordWrap/>
        <w:overflowPunct/>
        <w:topLinePunct w:val="0"/>
        <w:autoSpaceDE/>
        <w:autoSpaceDN/>
        <w:bidi w:val="0"/>
        <w:adjustRightInd/>
        <w:spacing w:line="600" w:lineRule="exact"/>
        <w:textAlignment w:val="auto"/>
        <w:rPr>
          <w:rFonts w:hint="default" w:ascii="Times New Roman" w:hAnsi="Times New Roman" w:eastAsia="黑体" w:cs="Times New Roman"/>
          <w:b w:val="0"/>
          <w:bCs/>
          <w:lang w:val="en-US" w:eastAsia="zh-CN"/>
        </w:rPr>
      </w:pPr>
      <w:r>
        <w:rPr>
          <w:rFonts w:hint="default" w:ascii="Times New Roman" w:hAnsi="Times New Roman" w:cs="Times New Roman"/>
          <w:color w:val="auto"/>
          <w:highlight w:val="none"/>
          <w:lang w:val="en-US" w:eastAsia="zh-CN"/>
        </w:rPr>
        <w:t>坚持以习近平新时代中国特色社会主义思想为指导，全面贯彻党的二十大和二十届二中、三中全会精神，深入落实习近平总书记考察安徽重要讲话精神，坚持稳中求进工作总基调，统筹推进“五位一体”总体布局，协调推进“四个全面”战略布局，完整、准确、全面贯彻新发展理念，充分发挥多重国家发展战略叠加优势，以推动高质量发展为主题，以培育和发展新质生产力为核心，坚持稳中求进、以进促稳，守正创新、先立后破，系统集成、协同配合，聚焦产业转型升级、深化改革开放、</w:t>
      </w:r>
      <w:r>
        <w:rPr>
          <w:rFonts w:hint="eastAsia" w:cs="Times New Roman"/>
          <w:color w:val="auto"/>
          <w:highlight w:val="none"/>
          <w:lang w:val="en-US" w:eastAsia="zh-CN"/>
        </w:rPr>
        <w:t>推进</w:t>
      </w:r>
      <w:r>
        <w:rPr>
          <w:rFonts w:hint="default" w:ascii="Times New Roman" w:hAnsi="Times New Roman" w:cs="Times New Roman"/>
          <w:color w:val="auto"/>
          <w:highlight w:val="none"/>
          <w:lang w:val="en-US" w:eastAsia="zh-CN"/>
        </w:rPr>
        <w:t>乡村全面振兴、</w:t>
      </w:r>
      <w:r>
        <w:rPr>
          <w:rFonts w:hint="eastAsia" w:cs="Times New Roman"/>
          <w:color w:val="auto"/>
          <w:highlight w:val="none"/>
          <w:lang w:val="en-US" w:eastAsia="zh-CN"/>
        </w:rPr>
        <w:t>推动城市内涵式发展</w:t>
      </w:r>
      <w:r>
        <w:rPr>
          <w:rFonts w:hint="default" w:ascii="Times New Roman" w:hAnsi="Times New Roman" w:cs="Times New Roman"/>
          <w:color w:val="auto"/>
          <w:highlight w:val="none"/>
          <w:lang w:val="en-US" w:eastAsia="zh-CN"/>
        </w:rPr>
        <w:t>、加快绿色发展、增进民生福祉、防范化解风险等重点领域，持续推动经济</w:t>
      </w:r>
      <w:r>
        <w:rPr>
          <w:rFonts w:hint="default" w:cs="Times New Roman"/>
          <w:color w:val="auto"/>
          <w:highlight w:val="none"/>
          <w:lang w:val="en-US" w:eastAsia="zh-CN"/>
        </w:rPr>
        <w:t>发展</w:t>
      </w:r>
      <w:r>
        <w:rPr>
          <w:rFonts w:hint="default" w:ascii="Times New Roman" w:hAnsi="Times New Roman" w:cs="Times New Roman"/>
          <w:color w:val="auto"/>
          <w:highlight w:val="none"/>
          <w:lang w:val="en-US" w:eastAsia="zh-CN"/>
        </w:rPr>
        <w:t>实现质的有效提升和量的合理增长，</w:t>
      </w:r>
      <w:r>
        <w:rPr>
          <w:rFonts w:hint="default" w:ascii="Times New Roman" w:hAnsi="Times New Roman" w:cs="Times New Roman"/>
          <w:color w:val="auto"/>
          <w:spacing w:val="4"/>
          <w:sz w:val="32"/>
          <w:szCs w:val="32"/>
          <w:highlight w:val="none"/>
          <w:shd w:val="clear" w:color="auto" w:fill="FFFFFF"/>
          <w:lang w:val="en-US" w:eastAsia="zh-CN"/>
        </w:rPr>
        <w:t>高质量推进“一城三区”建设，</w:t>
      </w:r>
      <w:r>
        <w:rPr>
          <w:rFonts w:hint="default" w:ascii="Times New Roman" w:hAnsi="Times New Roman" w:cs="Times New Roman"/>
          <w:color w:val="auto"/>
          <w:highlight w:val="none"/>
          <w:lang w:val="en-US" w:eastAsia="zh-CN"/>
        </w:rPr>
        <w:t>以“振奋精神、振兴经济”的好状态奋力闯出资源型城市转型发展新路，以“真抓实干往前赶”的劲头谱写中国式现代化美好潘集新篇章，为到2035年基本实现社会主义现代化奠定</w:t>
      </w:r>
      <w:r>
        <w:rPr>
          <w:rFonts w:hint="default" w:cs="Times New Roman"/>
          <w:color w:val="auto"/>
          <w:highlight w:val="none"/>
          <w:lang w:val="en-US" w:eastAsia="zh-CN"/>
        </w:rPr>
        <w:t>坚实</w:t>
      </w:r>
      <w:r>
        <w:rPr>
          <w:rFonts w:hint="default" w:ascii="Times New Roman" w:hAnsi="Times New Roman" w:cs="Times New Roman"/>
          <w:color w:val="auto"/>
          <w:highlight w:val="none"/>
          <w:lang w:val="en-US" w:eastAsia="zh-CN"/>
        </w:rPr>
        <w:t>基础。</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0" w:name="_Toc4793"/>
      <w:r>
        <w:rPr>
          <w:rFonts w:hint="default" w:ascii="Times New Roman" w:hAnsi="Times New Roman" w:eastAsia="黑体" w:cs="Times New Roman"/>
          <w:b w:val="0"/>
          <w:bCs/>
          <w:lang w:val="en-US" w:eastAsia="zh-CN"/>
        </w:rPr>
        <w:t>第二节 基本原则</w:t>
      </w:r>
      <w:bookmarkEnd w:id="10"/>
    </w:p>
    <w:p>
      <w:pPr>
        <w:keepNext w:val="0"/>
        <w:keepLines w:val="0"/>
        <w:pageBreakBefore w:val="0"/>
        <w:widowControl w:val="0"/>
        <w:kinsoku/>
        <w:wordWrap/>
        <w:overflowPunct/>
        <w:topLinePunct w:val="0"/>
        <w:autoSpaceDE/>
        <w:autoSpaceDN/>
        <w:bidi w:val="0"/>
        <w:adjustRightInd/>
        <w:snapToGrid/>
        <w:spacing w:line="600" w:lineRule="exact"/>
        <w:ind w:firstLine="659" w:firstLineChars="200"/>
        <w:textAlignment w:val="auto"/>
        <w:outlineLvl w:val="2"/>
        <w:rPr>
          <w:rFonts w:hint="default" w:ascii="Times New Roman" w:hAnsi="Times New Roman" w:eastAsia="仿宋_GB2312" w:cs="Times New Roman"/>
          <w:color w:val="auto"/>
          <w:spacing w:val="4"/>
          <w:sz w:val="32"/>
          <w:szCs w:val="32"/>
          <w:highlight w:val="none"/>
          <w:shd w:val="clear" w:color="auto" w:fill="FFFFFF"/>
        </w:rPr>
      </w:pPr>
      <w:bookmarkStart w:id="11" w:name="_Toc1621616516"/>
      <w:bookmarkStart w:id="12" w:name="_Toc386213137"/>
      <w:bookmarkStart w:id="13" w:name="_Toc416647913"/>
      <w:bookmarkStart w:id="14" w:name="_Toc939724082"/>
      <w:bookmarkStart w:id="15" w:name="_Toc19790"/>
      <w:bookmarkStart w:id="16" w:name="_Toc203855827"/>
      <w:bookmarkStart w:id="17" w:name="_Toc204240467"/>
      <w:bookmarkStart w:id="18" w:name="_Toc29517"/>
      <w:bookmarkStart w:id="19" w:name="_Toc203932818"/>
      <w:bookmarkStart w:id="20" w:name="_Toc1698387864"/>
      <w:bookmarkStart w:id="21" w:name="_Toc554"/>
      <w:bookmarkStart w:id="22" w:name="_Toc203855530"/>
      <w:r>
        <w:rPr>
          <w:rFonts w:hint="default" w:ascii="Times New Roman" w:hAnsi="Times New Roman" w:eastAsia="仿宋_GB2312" w:cs="Times New Roman"/>
          <w:b/>
          <w:bCs/>
          <w:color w:val="auto"/>
          <w:spacing w:val="4"/>
          <w:sz w:val="32"/>
          <w:szCs w:val="32"/>
          <w:highlight w:val="none"/>
          <w:shd w:val="clear" w:color="auto" w:fill="FFFFFF"/>
        </w:rPr>
        <w:t>——</w:t>
      </w:r>
      <w:r>
        <w:rPr>
          <w:rFonts w:hint="default" w:ascii="Times New Roman" w:hAnsi="Times New Roman" w:eastAsia="楷体_GB2312" w:cs="Times New Roman"/>
          <w:b/>
          <w:bCs/>
          <w:color w:val="auto"/>
          <w:highlight w:val="none"/>
          <w:lang w:val="en-US" w:eastAsia="zh-CN"/>
        </w:rPr>
        <w:t>坚持质量优先和速度提升相统筹</w:t>
      </w:r>
      <w:bookmarkEnd w:id="11"/>
      <w:bookmarkEnd w:id="12"/>
      <w:r>
        <w:rPr>
          <w:rFonts w:hint="default" w:ascii="Times New Roman" w:hAnsi="Times New Roman" w:eastAsia="仿宋_GB2312" w:cs="Times New Roman"/>
          <w:b/>
          <w:bCs/>
          <w:color w:val="auto"/>
          <w:spacing w:val="4"/>
          <w:sz w:val="32"/>
          <w:szCs w:val="32"/>
          <w:highlight w:val="none"/>
          <w:shd w:val="clear" w:color="auto" w:fill="FFFFFF"/>
        </w:rPr>
        <w:t>。</w:t>
      </w:r>
      <w:r>
        <w:rPr>
          <w:rFonts w:hint="default" w:ascii="Times New Roman" w:hAnsi="Times New Roman" w:eastAsia="仿宋_GB2312" w:cs="Times New Roman"/>
          <w:color w:val="auto"/>
          <w:spacing w:val="4"/>
          <w:sz w:val="32"/>
          <w:szCs w:val="32"/>
          <w:highlight w:val="none"/>
          <w:shd w:val="clear" w:color="auto" w:fill="FFFFFF"/>
        </w:rPr>
        <w:t>坚持以高质量发展统揽全局</w:t>
      </w:r>
      <w:r>
        <w:rPr>
          <w:rFonts w:hint="default" w:ascii="Times New Roman" w:hAnsi="Times New Roman" w:eastAsia="仿宋_GB2312" w:cs="Times New Roman"/>
          <w:color w:val="auto"/>
          <w:spacing w:val="4"/>
          <w:sz w:val="32"/>
          <w:szCs w:val="32"/>
          <w:highlight w:val="none"/>
          <w:shd w:val="clear" w:color="auto" w:fill="FFFFFF"/>
          <w:lang w:eastAsia="zh-CN"/>
        </w:rPr>
        <w:t>，</w:t>
      </w:r>
      <w:r>
        <w:rPr>
          <w:rFonts w:hint="default" w:ascii="Times New Roman" w:hAnsi="Times New Roman" w:eastAsia="仿宋_GB2312" w:cs="Times New Roman"/>
          <w:color w:val="auto"/>
          <w:spacing w:val="4"/>
          <w:sz w:val="32"/>
          <w:szCs w:val="32"/>
          <w:highlight w:val="none"/>
          <w:shd w:val="clear" w:color="auto" w:fill="FFFFFF"/>
        </w:rPr>
        <w:t>全面理解和把握高质量发展中质和量，统筹好质量和速度的关系</w:t>
      </w:r>
      <w:r>
        <w:rPr>
          <w:rFonts w:hint="default" w:ascii="Times New Roman" w:hAnsi="Times New Roman" w:cs="Times New Roman"/>
          <w:color w:val="auto"/>
          <w:spacing w:val="4"/>
          <w:sz w:val="32"/>
          <w:szCs w:val="32"/>
          <w:highlight w:val="none"/>
          <w:shd w:val="clear" w:color="auto" w:fill="FFFFFF"/>
          <w:lang w:eastAsia="zh-CN"/>
        </w:rPr>
        <w:t>，</w:t>
      </w:r>
      <w:r>
        <w:rPr>
          <w:rFonts w:hint="default" w:ascii="Times New Roman" w:hAnsi="Times New Roman" w:cs="Times New Roman"/>
          <w:color w:val="auto"/>
          <w:spacing w:val="4"/>
          <w:sz w:val="32"/>
          <w:szCs w:val="32"/>
          <w:highlight w:val="none"/>
          <w:shd w:val="clear" w:color="auto" w:fill="FFFFFF"/>
          <w:lang w:val="en-US" w:eastAsia="zh-CN"/>
        </w:rPr>
        <w:t>将培育壮大新质生产力作为经济高质量发展的新引擎</w:t>
      </w:r>
      <w:r>
        <w:rPr>
          <w:rFonts w:hint="default" w:ascii="Times New Roman" w:hAnsi="Times New Roman" w:eastAsia="仿宋_GB2312" w:cs="Times New Roman"/>
          <w:color w:val="auto"/>
          <w:spacing w:val="4"/>
          <w:sz w:val="32"/>
          <w:szCs w:val="32"/>
          <w:highlight w:val="none"/>
          <w:shd w:val="clear" w:color="auto" w:fill="FFFFFF"/>
        </w:rPr>
        <w:t>。全力以赴拼经济搞建设，确保</w:t>
      </w:r>
      <w:r>
        <w:rPr>
          <w:rFonts w:hint="default" w:ascii="Times New Roman" w:hAnsi="Times New Roman" w:cs="Times New Roman"/>
          <w:color w:val="auto"/>
          <w:spacing w:val="4"/>
          <w:sz w:val="32"/>
          <w:szCs w:val="32"/>
          <w:highlight w:val="none"/>
          <w:shd w:val="clear" w:color="auto" w:fill="FFFFFF"/>
          <w:lang w:val="en-US" w:eastAsia="zh-CN"/>
        </w:rPr>
        <w:t>全区</w:t>
      </w:r>
      <w:r>
        <w:rPr>
          <w:rFonts w:hint="default" w:ascii="Times New Roman" w:hAnsi="Times New Roman" w:eastAsia="仿宋_GB2312" w:cs="Times New Roman"/>
          <w:color w:val="auto"/>
          <w:spacing w:val="4"/>
          <w:sz w:val="32"/>
          <w:szCs w:val="32"/>
          <w:highlight w:val="none"/>
          <w:shd w:val="clear" w:color="auto" w:fill="FFFFFF"/>
        </w:rPr>
        <w:t>主要经济指标较快速度增长，</w:t>
      </w:r>
      <w:r>
        <w:rPr>
          <w:rFonts w:hint="default" w:ascii="Times New Roman" w:hAnsi="Times New Roman" w:cs="Times New Roman"/>
          <w:color w:val="auto"/>
          <w:spacing w:val="4"/>
          <w:sz w:val="32"/>
          <w:szCs w:val="32"/>
          <w:highlight w:val="none"/>
          <w:shd w:val="clear" w:color="auto" w:fill="FFFFFF"/>
          <w:lang w:val="en-US" w:eastAsia="zh-CN"/>
        </w:rPr>
        <w:t>加快</w:t>
      </w:r>
      <w:r>
        <w:rPr>
          <w:rFonts w:hint="default" w:ascii="Times New Roman" w:hAnsi="Times New Roman" w:eastAsia="仿宋_GB2312" w:cs="Times New Roman"/>
          <w:color w:val="auto"/>
          <w:spacing w:val="4"/>
          <w:sz w:val="32"/>
          <w:szCs w:val="32"/>
          <w:highlight w:val="none"/>
          <w:shd w:val="clear" w:color="auto" w:fill="FFFFFF"/>
        </w:rPr>
        <w:t>提升在</w:t>
      </w:r>
      <w:r>
        <w:rPr>
          <w:rFonts w:hint="default" w:ascii="Times New Roman" w:hAnsi="Times New Roman" w:cs="Times New Roman"/>
          <w:color w:val="auto"/>
          <w:spacing w:val="4"/>
          <w:sz w:val="32"/>
          <w:szCs w:val="32"/>
          <w:highlight w:val="none"/>
          <w:shd w:val="clear" w:color="auto" w:fill="FFFFFF"/>
          <w:lang w:val="en-US" w:eastAsia="zh-CN"/>
        </w:rPr>
        <w:t>全市发展大局中的分量和位次</w:t>
      </w:r>
      <w:r>
        <w:rPr>
          <w:rFonts w:hint="default" w:ascii="Times New Roman" w:hAnsi="Times New Roman" w:eastAsia="仿宋_GB2312" w:cs="Times New Roman"/>
          <w:color w:val="auto"/>
          <w:spacing w:val="4"/>
          <w:sz w:val="32"/>
          <w:szCs w:val="32"/>
          <w:highlight w:val="none"/>
          <w:shd w:val="clear" w:color="auto" w:fill="FFFFFF"/>
        </w:rPr>
        <w:t>。</w:t>
      </w:r>
      <w:r>
        <w:rPr>
          <w:rFonts w:hint="default" w:ascii="Times New Roman" w:hAnsi="Times New Roman" w:cs="Times New Roman"/>
          <w:color w:val="auto"/>
          <w:spacing w:val="4"/>
          <w:sz w:val="32"/>
          <w:szCs w:val="32"/>
          <w:highlight w:val="none"/>
          <w:shd w:val="clear" w:color="auto" w:fill="FFFFFF"/>
          <w:lang w:val="en-US" w:eastAsia="zh-CN"/>
        </w:rPr>
        <w:t>全区要将</w:t>
      </w:r>
      <w:r>
        <w:rPr>
          <w:rFonts w:hint="default" w:ascii="Times New Roman" w:hAnsi="Times New Roman" w:eastAsia="仿宋_GB2312" w:cs="Times New Roman"/>
          <w:color w:val="auto"/>
          <w:spacing w:val="4"/>
          <w:sz w:val="32"/>
          <w:szCs w:val="32"/>
          <w:highlight w:val="none"/>
          <w:shd w:val="clear" w:color="auto" w:fill="FFFFFF"/>
        </w:rPr>
        <w:t>更好统筹</w:t>
      </w:r>
      <w:r>
        <w:rPr>
          <w:rFonts w:hint="default" w:ascii="Times New Roman" w:hAnsi="Times New Roman" w:cs="Times New Roman"/>
          <w:color w:val="auto"/>
          <w:spacing w:val="4"/>
          <w:sz w:val="32"/>
          <w:szCs w:val="32"/>
          <w:highlight w:val="none"/>
          <w:shd w:val="clear" w:color="auto" w:fill="FFFFFF"/>
          <w:lang w:val="en-US" w:eastAsia="zh-CN"/>
        </w:rPr>
        <w:t>质量与速度</w:t>
      </w:r>
      <w:r>
        <w:rPr>
          <w:rFonts w:hint="default" w:ascii="Times New Roman" w:hAnsi="Times New Roman" w:eastAsia="仿宋_GB2312" w:cs="Times New Roman"/>
          <w:color w:val="auto"/>
          <w:spacing w:val="4"/>
          <w:sz w:val="32"/>
          <w:szCs w:val="32"/>
          <w:highlight w:val="none"/>
          <w:shd w:val="clear" w:color="auto" w:fill="FFFFFF"/>
        </w:rPr>
        <w:t>贯穿于产业谋划、项目建设、招商引资全过程，贯穿于制定中长期发展规划、明确年度目标、调度经济运行等各环节，稳中求进实现做大经济</w:t>
      </w:r>
      <w:r>
        <w:rPr>
          <w:rFonts w:hint="default" w:ascii="Times New Roman" w:hAnsi="Times New Roman" w:cs="Times New Roman"/>
          <w:color w:val="auto"/>
          <w:spacing w:val="4"/>
          <w:sz w:val="32"/>
          <w:szCs w:val="32"/>
          <w:highlight w:val="none"/>
          <w:shd w:val="clear" w:color="auto" w:fill="FFFFFF"/>
          <w:lang w:val="en-US" w:eastAsia="zh-CN"/>
        </w:rPr>
        <w:t>总</w:t>
      </w:r>
      <w:r>
        <w:rPr>
          <w:rFonts w:hint="default" w:ascii="Times New Roman" w:hAnsi="Times New Roman" w:eastAsia="仿宋_GB2312" w:cs="Times New Roman"/>
          <w:color w:val="auto"/>
          <w:spacing w:val="4"/>
          <w:sz w:val="32"/>
          <w:szCs w:val="32"/>
          <w:highlight w:val="none"/>
          <w:shd w:val="clear" w:color="auto" w:fill="FFFFFF"/>
        </w:rPr>
        <w:t>量、做</w:t>
      </w:r>
      <w:r>
        <w:rPr>
          <w:rFonts w:hint="default" w:ascii="Times New Roman" w:hAnsi="Times New Roman" w:cs="Times New Roman"/>
          <w:color w:val="auto"/>
          <w:spacing w:val="4"/>
          <w:sz w:val="32"/>
          <w:szCs w:val="32"/>
          <w:highlight w:val="none"/>
          <w:shd w:val="clear" w:color="auto" w:fill="FFFFFF"/>
          <w:lang w:val="en-US" w:eastAsia="zh-CN"/>
        </w:rPr>
        <w:t>优</w:t>
      </w:r>
      <w:r>
        <w:rPr>
          <w:rFonts w:hint="default" w:ascii="Times New Roman" w:hAnsi="Times New Roman" w:eastAsia="仿宋_GB2312" w:cs="Times New Roman"/>
          <w:color w:val="auto"/>
          <w:spacing w:val="4"/>
          <w:sz w:val="32"/>
          <w:szCs w:val="32"/>
          <w:highlight w:val="none"/>
          <w:shd w:val="clear" w:color="auto" w:fill="FFFFFF"/>
        </w:rPr>
        <w:t>经济</w:t>
      </w:r>
      <w:r>
        <w:rPr>
          <w:rFonts w:hint="default" w:ascii="Times New Roman" w:hAnsi="Times New Roman" w:cs="Times New Roman"/>
          <w:color w:val="auto"/>
          <w:spacing w:val="4"/>
          <w:sz w:val="32"/>
          <w:szCs w:val="32"/>
          <w:highlight w:val="none"/>
          <w:shd w:val="clear" w:color="auto" w:fill="FFFFFF"/>
          <w:lang w:val="en-US" w:eastAsia="zh-CN"/>
        </w:rPr>
        <w:t>增</w:t>
      </w:r>
      <w:r>
        <w:rPr>
          <w:rFonts w:hint="default" w:ascii="Times New Roman" w:hAnsi="Times New Roman" w:eastAsia="仿宋_GB2312" w:cs="Times New Roman"/>
          <w:color w:val="auto"/>
          <w:spacing w:val="4"/>
          <w:sz w:val="32"/>
          <w:szCs w:val="32"/>
          <w:highlight w:val="none"/>
          <w:shd w:val="clear" w:color="auto" w:fill="FFFFFF"/>
        </w:rPr>
        <w:t>量、</w:t>
      </w:r>
      <w:r>
        <w:rPr>
          <w:rFonts w:hint="default" w:ascii="Times New Roman" w:hAnsi="Times New Roman" w:cs="Times New Roman"/>
          <w:color w:val="auto"/>
          <w:spacing w:val="4"/>
          <w:sz w:val="32"/>
          <w:szCs w:val="32"/>
          <w:highlight w:val="none"/>
          <w:shd w:val="clear" w:color="auto" w:fill="FFFFFF"/>
          <w:lang w:val="en-US" w:eastAsia="zh-CN"/>
        </w:rPr>
        <w:t>提升</w:t>
      </w:r>
      <w:r>
        <w:rPr>
          <w:rFonts w:hint="default" w:ascii="Times New Roman" w:hAnsi="Times New Roman" w:eastAsia="仿宋_GB2312" w:cs="Times New Roman"/>
          <w:color w:val="auto"/>
          <w:spacing w:val="4"/>
          <w:sz w:val="32"/>
          <w:szCs w:val="32"/>
          <w:highlight w:val="none"/>
          <w:shd w:val="clear" w:color="auto" w:fill="FFFFFF"/>
        </w:rPr>
        <w:t>经济质量的统筹结合。</w:t>
      </w:r>
      <w:bookmarkEnd w:id="13"/>
      <w:bookmarkEnd w:id="14"/>
      <w:bookmarkEnd w:id="15"/>
      <w:bookmarkEnd w:id="16"/>
      <w:bookmarkEnd w:id="17"/>
      <w:bookmarkEnd w:id="18"/>
      <w:bookmarkEnd w:id="19"/>
      <w:bookmarkEnd w:id="20"/>
      <w:bookmarkEnd w:id="21"/>
      <w:bookmarkEnd w:id="22"/>
    </w:p>
    <w:p>
      <w:pPr>
        <w:pageBreakBefore w:val="0"/>
        <w:kinsoku/>
        <w:wordWrap/>
        <w:overflowPunct/>
        <w:topLinePunct w:val="0"/>
        <w:autoSpaceDE/>
        <w:autoSpaceDN/>
        <w:bidi w:val="0"/>
        <w:adjustRightInd/>
        <w:spacing w:line="600" w:lineRule="exact"/>
        <w:ind w:firstLine="659" w:firstLineChars="200"/>
        <w:textAlignment w:val="auto"/>
        <w:outlineLvl w:val="2"/>
        <w:rPr>
          <w:rFonts w:hint="default" w:ascii="Times New Roman" w:hAnsi="Times New Roman" w:eastAsia="仿宋_GB2312" w:cs="Times New Roman"/>
          <w:color w:val="auto"/>
          <w:spacing w:val="4"/>
          <w:sz w:val="32"/>
          <w:szCs w:val="32"/>
          <w:highlight w:val="none"/>
          <w:shd w:val="clear" w:color="auto" w:fill="FFFFFF"/>
        </w:rPr>
      </w:pPr>
      <w:bookmarkStart w:id="23" w:name="_Toc1098219333"/>
      <w:bookmarkStart w:id="24" w:name="_Toc1941947592"/>
      <w:bookmarkStart w:id="25" w:name="_Toc204240468"/>
      <w:bookmarkStart w:id="26" w:name="_Toc1804784571"/>
      <w:bookmarkStart w:id="27" w:name="_Toc203855531"/>
      <w:bookmarkStart w:id="28" w:name="_Toc26981"/>
      <w:bookmarkStart w:id="29" w:name="_Toc203855828"/>
      <w:bookmarkStart w:id="30" w:name="_Toc203932819"/>
      <w:bookmarkStart w:id="31" w:name="_Toc1024101654"/>
      <w:bookmarkStart w:id="32" w:name="_Toc1347906136"/>
      <w:bookmarkStart w:id="33" w:name="_Toc28955"/>
      <w:bookmarkStart w:id="34" w:name="_Toc11290"/>
      <w:r>
        <w:rPr>
          <w:rFonts w:hint="default" w:ascii="Times New Roman" w:hAnsi="Times New Roman" w:eastAsia="仿宋_GB2312" w:cs="Times New Roman"/>
          <w:b/>
          <w:bCs/>
          <w:color w:val="auto"/>
          <w:spacing w:val="4"/>
          <w:sz w:val="32"/>
          <w:szCs w:val="32"/>
          <w:highlight w:val="none"/>
          <w:shd w:val="clear" w:color="auto" w:fill="FFFFFF"/>
        </w:rPr>
        <w:t>——</w:t>
      </w:r>
      <w:r>
        <w:rPr>
          <w:rFonts w:hint="default" w:ascii="Times New Roman" w:hAnsi="Times New Roman" w:eastAsia="楷体_GB2312" w:cs="Times New Roman"/>
          <w:b/>
          <w:bCs/>
          <w:color w:val="auto"/>
          <w:highlight w:val="none"/>
          <w:lang w:val="en-US" w:eastAsia="zh-CN"/>
        </w:rPr>
        <w:t>坚持改革创新与增强韧性相结合</w:t>
      </w:r>
      <w:bookmarkEnd w:id="23"/>
      <w:bookmarkEnd w:id="24"/>
      <w:r>
        <w:rPr>
          <w:rFonts w:hint="default" w:ascii="Times New Roman" w:hAnsi="Times New Roman" w:eastAsia="楷体_GB2312" w:cs="Times New Roman"/>
          <w:b/>
          <w:bCs/>
          <w:color w:val="auto"/>
          <w:highlight w:val="none"/>
          <w:lang w:val="en-US" w:eastAsia="zh-CN"/>
        </w:rPr>
        <w:t>。</w:t>
      </w:r>
      <w:r>
        <w:rPr>
          <w:rFonts w:hint="default" w:ascii="Times New Roman" w:hAnsi="Times New Roman" w:eastAsia="仿宋_GB2312" w:cs="Times New Roman"/>
          <w:color w:val="auto"/>
          <w:spacing w:val="4"/>
          <w:sz w:val="32"/>
          <w:szCs w:val="32"/>
          <w:highlight w:val="none"/>
          <w:shd w:val="clear" w:color="auto" w:fill="FFFFFF"/>
        </w:rPr>
        <w:t>深入学习贯彻习近平总书记关于全面深化改革的一系列新思想、新观点、新论断</w:t>
      </w:r>
      <w:r>
        <w:rPr>
          <w:rFonts w:hint="default" w:ascii="Times New Roman" w:hAnsi="Times New Roman" w:eastAsia="仿宋_GB2312" w:cs="Times New Roman"/>
          <w:color w:val="auto"/>
          <w:spacing w:val="4"/>
          <w:sz w:val="32"/>
          <w:szCs w:val="32"/>
          <w:highlight w:val="none"/>
          <w:shd w:val="clear" w:color="auto" w:fill="FFFFFF"/>
          <w:lang w:eastAsia="zh-CN"/>
        </w:rPr>
        <w:t>，</w:t>
      </w:r>
      <w:r>
        <w:rPr>
          <w:rFonts w:hint="default" w:ascii="Times New Roman" w:hAnsi="Times New Roman" w:cs="Times New Roman"/>
          <w:color w:val="auto"/>
          <w:spacing w:val="4"/>
          <w:sz w:val="32"/>
          <w:szCs w:val="32"/>
          <w:highlight w:val="none"/>
          <w:shd w:val="clear" w:color="auto" w:fill="FFFFFF"/>
          <w:lang w:val="en-US" w:eastAsia="zh-CN"/>
        </w:rPr>
        <w:t>贯彻落实习近平总书记</w:t>
      </w:r>
      <w:r>
        <w:rPr>
          <w:rFonts w:hint="default" w:ascii="Times New Roman" w:hAnsi="Times New Roman" w:eastAsia="仿宋_GB2312" w:cs="Times New Roman"/>
          <w:color w:val="auto"/>
          <w:spacing w:val="4"/>
          <w:sz w:val="32"/>
          <w:szCs w:val="32"/>
          <w:highlight w:val="none"/>
          <w:shd w:val="clear" w:color="auto" w:fill="FFFFFF"/>
          <w:lang w:eastAsia="zh-CN"/>
        </w:rPr>
        <w:t>寄予安徽“加强改革创新、努力闯出新路”</w:t>
      </w:r>
      <w:r>
        <w:rPr>
          <w:rFonts w:hint="default" w:ascii="Times New Roman" w:hAnsi="Times New Roman" w:cs="Times New Roman"/>
          <w:color w:val="auto"/>
          <w:spacing w:val="4"/>
          <w:sz w:val="32"/>
          <w:szCs w:val="32"/>
          <w:highlight w:val="none"/>
          <w:shd w:val="clear" w:color="auto" w:fill="FFFFFF"/>
          <w:lang w:val="en-US" w:eastAsia="zh-CN"/>
        </w:rPr>
        <w:t>的</w:t>
      </w:r>
      <w:r>
        <w:rPr>
          <w:rFonts w:hint="default" w:ascii="Times New Roman" w:hAnsi="Times New Roman" w:eastAsia="仿宋_GB2312" w:cs="Times New Roman"/>
          <w:color w:val="auto"/>
          <w:spacing w:val="4"/>
          <w:sz w:val="32"/>
          <w:szCs w:val="32"/>
          <w:highlight w:val="none"/>
          <w:shd w:val="clear" w:color="auto" w:fill="FFFFFF"/>
          <w:lang w:eastAsia="zh-CN"/>
        </w:rPr>
        <w:t>殷切希望</w:t>
      </w:r>
      <w:r>
        <w:rPr>
          <w:rFonts w:hint="default" w:ascii="Times New Roman" w:hAnsi="Times New Roman" w:cs="Times New Roman"/>
          <w:color w:val="auto"/>
          <w:spacing w:val="4"/>
          <w:sz w:val="32"/>
          <w:szCs w:val="32"/>
          <w:highlight w:val="none"/>
          <w:shd w:val="clear" w:color="auto" w:fill="FFFFFF"/>
          <w:lang w:eastAsia="zh-CN"/>
        </w:rPr>
        <w:t>，</w:t>
      </w:r>
      <w:r>
        <w:rPr>
          <w:rFonts w:hint="default" w:ascii="Times New Roman" w:hAnsi="Times New Roman" w:eastAsia="仿宋_GB2312" w:cs="Times New Roman"/>
          <w:color w:val="auto"/>
          <w:spacing w:val="4"/>
          <w:sz w:val="32"/>
          <w:szCs w:val="32"/>
          <w:highlight w:val="none"/>
          <w:shd w:val="clear" w:color="auto" w:fill="FFFFFF"/>
        </w:rPr>
        <w:t>深入实施创新驱动发展战略，</w:t>
      </w:r>
      <w:r>
        <w:rPr>
          <w:rFonts w:hint="default" w:ascii="Times New Roman" w:hAnsi="Times New Roman" w:cs="Times New Roman"/>
          <w:color w:val="auto"/>
          <w:spacing w:val="4"/>
          <w:sz w:val="32"/>
          <w:szCs w:val="32"/>
          <w:highlight w:val="none"/>
          <w:shd w:val="clear" w:color="auto" w:fill="FFFFFF"/>
          <w:lang w:val="en-US" w:eastAsia="zh-CN"/>
        </w:rPr>
        <w:t>全区</w:t>
      </w:r>
      <w:r>
        <w:rPr>
          <w:rFonts w:hint="default" w:ascii="Times New Roman" w:hAnsi="Times New Roman" w:eastAsia="仿宋_GB2312" w:cs="Times New Roman"/>
          <w:color w:val="auto"/>
          <w:spacing w:val="4"/>
          <w:sz w:val="32"/>
          <w:szCs w:val="32"/>
          <w:highlight w:val="none"/>
          <w:shd w:val="clear" w:color="auto" w:fill="FFFFFF"/>
        </w:rPr>
        <w:t>坚定不移推进改革开放，奋力在增强发展动能上抓落实。强化忧患意识和底线思维，</w:t>
      </w:r>
      <w:r>
        <w:rPr>
          <w:rFonts w:hint="default" w:ascii="Times New Roman" w:hAnsi="Times New Roman" w:cs="Times New Roman"/>
          <w:color w:val="auto"/>
          <w:spacing w:val="4"/>
          <w:sz w:val="32"/>
          <w:szCs w:val="32"/>
          <w:highlight w:val="none"/>
          <w:shd w:val="clear" w:color="auto" w:fill="FFFFFF"/>
          <w:lang w:val="en-US" w:eastAsia="zh-CN"/>
        </w:rPr>
        <w:t>立</w:t>
      </w:r>
      <w:r>
        <w:rPr>
          <w:rFonts w:hint="default" w:ascii="Times New Roman" w:hAnsi="Times New Roman" w:cs="Times New Roman"/>
          <w:color w:val="auto"/>
          <w:spacing w:val="4"/>
          <w:sz w:val="32"/>
          <w:szCs w:val="32"/>
          <w:highlight w:val="none"/>
          <w:shd w:val="clear" w:color="auto" w:fill="FFFFFF"/>
          <w:lang w:eastAsia="zh-CN"/>
        </w:rPr>
        <w:t>足煤电化基本盘，坚决扛牢能源保供政治责任</w:t>
      </w:r>
      <w:r>
        <w:rPr>
          <w:rFonts w:hint="default" w:ascii="Times New Roman" w:hAnsi="Times New Roman" w:eastAsia="仿宋_GB2312" w:cs="Times New Roman"/>
          <w:color w:val="auto"/>
          <w:spacing w:val="4"/>
          <w:sz w:val="32"/>
          <w:szCs w:val="32"/>
          <w:highlight w:val="none"/>
          <w:shd w:val="clear" w:color="auto" w:fill="FFFFFF"/>
        </w:rPr>
        <w:t>，筑牢实体经济根基</w:t>
      </w:r>
      <w:r>
        <w:rPr>
          <w:rFonts w:hint="default" w:ascii="Times New Roman" w:hAnsi="Times New Roman" w:cs="Times New Roman"/>
          <w:color w:val="auto"/>
          <w:spacing w:val="4"/>
          <w:sz w:val="32"/>
          <w:szCs w:val="32"/>
          <w:highlight w:val="none"/>
          <w:shd w:val="clear" w:color="auto" w:fill="FFFFFF"/>
          <w:lang w:eastAsia="zh-CN"/>
        </w:rPr>
        <w:t>，</w:t>
      </w:r>
      <w:r>
        <w:rPr>
          <w:rFonts w:hint="default" w:ascii="Times New Roman" w:hAnsi="Times New Roman" w:cs="Times New Roman"/>
          <w:color w:val="auto"/>
          <w:spacing w:val="4"/>
          <w:sz w:val="32"/>
          <w:szCs w:val="32"/>
          <w:highlight w:val="none"/>
          <w:shd w:val="clear" w:color="auto" w:fill="FFFFFF"/>
          <w:lang w:val="en-US" w:eastAsia="zh-CN"/>
        </w:rPr>
        <w:t>统筹发展和安全，增强产业链韧性</w:t>
      </w:r>
      <w:r>
        <w:rPr>
          <w:rFonts w:hint="default" w:ascii="Times New Roman" w:hAnsi="Times New Roman" w:eastAsia="仿宋_GB2312" w:cs="Times New Roman"/>
          <w:color w:val="auto"/>
          <w:spacing w:val="4"/>
          <w:sz w:val="32"/>
          <w:szCs w:val="32"/>
          <w:highlight w:val="none"/>
          <w:shd w:val="clear" w:color="auto" w:fill="FFFFFF"/>
        </w:rPr>
        <w:t>，厚植竞争优势，不断提升应对外部环境变化的抗冲击能力、自主修复能力和调整转型能力。</w:t>
      </w:r>
      <w:bookmarkEnd w:id="25"/>
      <w:bookmarkEnd w:id="26"/>
      <w:bookmarkEnd w:id="27"/>
      <w:bookmarkEnd w:id="28"/>
      <w:bookmarkEnd w:id="29"/>
      <w:bookmarkEnd w:id="30"/>
      <w:bookmarkEnd w:id="31"/>
      <w:bookmarkEnd w:id="32"/>
      <w:bookmarkEnd w:id="33"/>
      <w:bookmarkEnd w:id="34"/>
    </w:p>
    <w:p>
      <w:pPr>
        <w:pageBreakBefore w:val="0"/>
        <w:kinsoku/>
        <w:wordWrap/>
        <w:overflowPunct/>
        <w:topLinePunct w:val="0"/>
        <w:autoSpaceDE/>
        <w:autoSpaceDN/>
        <w:bidi w:val="0"/>
        <w:adjustRightInd/>
        <w:spacing w:line="600" w:lineRule="exact"/>
        <w:ind w:firstLine="659" w:firstLineChars="200"/>
        <w:textAlignment w:val="auto"/>
        <w:outlineLvl w:val="2"/>
        <w:rPr>
          <w:rFonts w:hint="default" w:ascii="Times New Roman" w:hAnsi="Times New Roman" w:eastAsia="仿宋_GB2312" w:cs="Times New Roman"/>
          <w:color w:val="auto"/>
          <w:spacing w:val="4"/>
          <w:sz w:val="32"/>
          <w:szCs w:val="32"/>
          <w:highlight w:val="none"/>
          <w:shd w:val="clear" w:color="auto" w:fill="FFFFFF"/>
        </w:rPr>
      </w:pPr>
      <w:bookmarkStart w:id="35" w:name="_Toc1364785658"/>
      <w:bookmarkStart w:id="36" w:name="_Toc181379438"/>
      <w:bookmarkStart w:id="37" w:name="_Toc17895"/>
      <w:bookmarkStart w:id="38" w:name="_Toc1339723132"/>
      <w:bookmarkStart w:id="39" w:name="_Toc203932820"/>
      <w:bookmarkStart w:id="40" w:name="_Toc453435549"/>
      <w:bookmarkStart w:id="41" w:name="_Toc19238"/>
      <w:bookmarkStart w:id="42" w:name="_Toc204240469"/>
      <w:bookmarkStart w:id="43" w:name="_Toc1955254569"/>
      <w:bookmarkStart w:id="44" w:name="_Toc203855532"/>
      <w:bookmarkStart w:id="45" w:name="_Toc21245"/>
      <w:bookmarkStart w:id="46" w:name="_Toc203855829"/>
      <w:r>
        <w:rPr>
          <w:rFonts w:hint="default" w:ascii="Times New Roman" w:hAnsi="Times New Roman" w:eastAsia="仿宋_GB2312" w:cs="Times New Roman"/>
          <w:b/>
          <w:bCs/>
          <w:color w:val="auto"/>
          <w:spacing w:val="4"/>
          <w:sz w:val="32"/>
          <w:szCs w:val="32"/>
          <w:highlight w:val="none"/>
          <w:shd w:val="clear" w:color="auto" w:fill="FFFFFF"/>
        </w:rPr>
        <w:t>——</w:t>
      </w:r>
      <w:r>
        <w:rPr>
          <w:rFonts w:hint="default" w:ascii="Times New Roman" w:hAnsi="Times New Roman" w:eastAsia="楷体_GB2312" w:cs="Times New Roman"/>
          <w:b/>
          <w:bCs/>
          <w:color w:val="auto"/>
          <w:highlight w:val="none"/>
          <w:lang w:val="en-US" w:eastAsia="zh-CN"/>
        </w:rPr>
        <w:t>坚持区域联动与开放扩能相协调</w:t>
      </w:r>
      <w:bookmarkEnd w:id="35"/>
      <w:bookmarkEnd w:id="36"/>
      <w:r>
        <w:rPr>
          <w:rFonts w:hint="default" w:ascii="Times New Roman" w:hAnsi="Times New Roman" w:eastAsia="楷体_GB2312" w:cs="Times New Roman"/>
          <w:b/>
          <w:bCs/>
          <w:color w:val="auto"/>
          <w:highlight w:val="none"/>
          <w:lang w:val="en-US" w:eastAsia="zh-CN"/>
        </w:rPr>
        <w:t>。</w:t>
      </w:r>
      <w:r>
        <w:rPr>
          <w:rFonts w:hint="default" w:ascii="Times New Roman" w:hAnsi="Times New Roman" w:eastAsia="仿宋_GB2312" w:cs="Times New Roman"/>
          <w:color w:val="auto"/>
          <w:spacing w:val="4"/>
          <w:sz w:val="32"/>
          <w:szCs w:val="32"/>
          <w:highlight w:val="none"/>
          <w:shd w:val="clear" w:color="auto" w:fill="FFFFFF"/>
        </w:rPr>
        <w:t>深入贯彻落实习近平总书记关于推进长三角一体化发展的重要讲话重要指示精神</w:t>
      </w:r>
      <w:r>
        <w:rPr>
          <w:rFonts w:hint="default" w:ascii="Times New Roman" w:hAnsi="Times New Roman" w:cs="Times New Roman"/>
          <w:color w:val="auto"/>
          <w:spacing w:val="4"/>
          <w:sz w:val="32"/>
          <w:szCs w:val="32"/>
          <w:highlight w:val="none"/>
          <w:shd w:val="clear" w:color="auto" w:fill="FFFFFF"/>
          <w:lang w:eastAsia="zh-CN"/>
        </w:rPr>
        <w:t>，</w:t>
      </w:r>
      <w:r>
        <w:rPr>
          <w:rFonts w:hint="default" w:ascii="Times New Roman" w:hAnsi="Times New Roman" w:cs="Times New Roman"/>
          <w:color w:val="auto"/>
          <w:spacing w:val="4"/>
          <w:sz w:val="32"/>
          <w:szCs w:val="32"/>
          <w:highlight w:val="none"/>
          <w:shd w:val="clear" w:color="auto" w:fill="FFFFFF"/>
          <w:lang w:val="en-US" w:eastAsia="zh-CN"/>
        </w:rPr>
        <w:t>紧扣“一体化”和“高质量”，主动靠上去、精准接上去、全力融进去。</w:t>
      </w:r>
      <w:r>
        <w:rPr>
          <w:rFonts w:hint="default" w:ascii="Times New Roman" w:hAnsi="Times New Roman" w:eastAsia="仿宋_GB2312" w:cs="Times New Roman"/>
          <w:color w:val="auto"/>
          <w:spacing w:val="4"/>
          <w:sz w:val="32"/>
          <w:szCs w:val="32"/>
          <w:highlight w:val="none"/>
          <w:shd w:val="clear" w:color="auto" w:fill="FFFFFF"/>
        </w:rPr>
        <w:t>充分发挥</w:t>
      </w:r>
      <w:r>
        <w:rPr>
          <w:rFonts w:hint="default" w:ascii="Times New Roman" w:hAnsi="Times New Roman" w:cs="Times New Roman"/>
          <w:color w:val="auto"/>
          <w:spacing w:val="4"/>
          <w:sz w:val="32"/>
          <w:szCs w:val="32"/>
          <w:highlight w:val="none"/>
          <w:shd w:val="clear" w:color="auto" w:fill="FFFFFF"/>
          <w:lang w:val="en-US" w:eastAsia="zh-CN"/>
        </w:rPr>
        <w:t>淮南市北部门户的区位优势，增强与沪苏浙地区、合肥都市圈联系</w:t>
      </w:r>
      <w:r>
        <w:rPr>
          <w:rFonts w:hint="default" w:ascii="Times New Roman" w:hAnsi="Times New Roman" w:eastAsia="仿宋_GB2312" w:cs="Times New Roman"/>
          <w:color w:val="auto"/>
          <w:spacing w:val="4"/>
          <w:sz w:val="32"/>
          <w:szCs w:val="32"/>
          <w:highlight w:val="none"/>
          <w:shd w:val="clear" w:color="auto" w:fill="FFFFFF"/>
        </w:rPr>
        <w:t>，突出抓好招商引资工作</w:t>
      </w:r>
      <w:r>
        <w:rPr>
          <w:rFonts w:hint="default" w:ascii="Times New Roman" w:hAnsi="Times New Roman" w:cs="Times New Roman"/>
          <w:color w:val="auto"/>
          <w:spacing w:val="4"/>
          <w:sz w:val="32"/>
          <w:szCs w:val="32"/>
          <w:highlight w:val="none"/>
          <w:shd w:val="clear" w:color="auto" w:fill="FFFFFF"/>
          <w:lang w:eastAsia="zh-CN"/>
        </w:rPr>
        <w:t>，</w:t>
      </w:r>
      <w:r>
        <w:rPr>
          <w:rFonts w:hint="default" w:ascii="Times New Roman" w:hAnsi="Times New Roman" w:eastAsia="仿宋_GB2312" w:cs="Times New Roman"/>
          <w:color w:val="auto"/>
          <w:spacing w:val="4"/>
          <w:sz w:val="32"/>
          <w:szCs w:val="32"/>
          <w:highlight w:val="none"/>
          <w:shd w:val="clear" w:color="auto" w:fill="FFFFFF"/>
        </w:rPr>
        <w:t>在更大范围、更宽领域、更高平台上塑造对外开放优势，奋力在构建以国内大循环为主体、国内国际双循环相互促进的新发展格局中实现更大作为。</w:t>
      </w:r>
      <w:bookmarkEnd w:id="37"/>
      <w:bookmarkEnd w:id="38"/>
      <w:bookmarkEnd w:id="39"/>
      <w:bookmarkEnd w:id="40"/>
      <w:bookmarkEnd w:id="41"/>
      <w:bookmarkEnd w:id="42"/>
      <w:bookmarkEnd w:id="43"/>
      <w:bookmarkEnd w:id="44"/>
      <w:bookmarkEnd w:id="45"/>
      <w:bookmarkEnd w:id="46"/>
    </w:p>
    <w:p>
      <w:pPr>
        <w:pageBreakBefore w:val="0"/>
        <w:kinsoku/>
        <w:wordWrap/>
        <w:overflowPunct/>
        <w:topLinePunct w:val="0"/>
        <w:autoSpaceDE/>
        <w:autoSpaceDN/>
        <w:bidi w:val="0"/>
        <w:adjustRightInd/>
        <w:spacing w:line="600" w:lineRule="exact"/>
        <w:ind w:firstLine="659" w:firstLineChars="200"/>
        <w:textAlignment w:val="auto"/>
        <w:outlineLvl w:val="2"/>
        <w:rPr>
          <w:rFonts w:hint="default" w:ascii="Times New Roman" w:hAnsi="Times New Roman" w:eastAsia="仿宋_GB2312" w:cs="Times New Roman"/>
          <w:color w:val="auto"/>
          <w:spacing w:val="4"/>
          <w:sz w:val="32"/>
          <w:szCs w:val="32"/>
          <w:highlight w:val="none"/>
          <w:shd w:val="clear" w:color="auto" w:fill="FFFFFF"/>
        </w:rPr>
      </w:pPr>
      <w:bookmarkStart w:id="47" w:name="_Toc33616640"/>
      <w:bookmarkStart w:id="48" w:name="_Toc2106592508"/>
      <w:bookmarkStart w:id="49" w:name="_Toc1168774789"/>
      <w:bookmarkStart w:id="50" w:name="_Toc203855533"/>
      <w:bookmarkStart w:id="51" w:name="_Toc27247"/>
      <w:bookmarkStart w:id="52" w:name="_Toc23087"/>
      <w:bookmarkStart w:id="53" w:name="_Toc204240470"/>
      <w:bookmarkStart w:id="54" w:name="_Toc1055326207"/>
      <w:bookmarkStart w:id="55" w:name="_Toc203855830"/>
      <w:bookmarkStart w:id="56" w:name="_Toc203932821"/>
      <w:bookmarkStart w:id="57" w:name="_Toc1619292487"/>
      <w:bookmarkStart w:id="58" w:name="_Toc11487"/>
      <w:r>
        <w:rPr>
          <w:rFonts w:hint="default" w:ascii="Times New Roman" w:hAnsi="Times New Roman" w:eastAsia="仿宋_GB2312" w:cs="Times New Roman"/>
          <w:b/>
          <w:bCs/>
          <w:color w:val="auto"/>
          <w:spacing w:val="4"/>
          <w:sz w:val="32"/>
          <w:szCs w:val="32"/>
          <w:highlight w:val="none"/>
          <w:shd w:val="clear" w:color="auto" w:fill="FFFFFF"/>
        </w:rPr>
        <w:t>——</w:t>
      </w:r>
      <w:r>
        <w:rPr>
          <w:rFonts w:hint="default" w:ascii="Times New Roman" w:hAnsi="Times New Roman" w:eastAsia="楷体_GB2312" w:cs="Times New Roman"/>
          <w:b/>
          <w:bCs/>
          <w:color w:val="auto"/>
          <w:highlight w:val="none"/>
          <w:lang w:val="en-US" w:eastAsia="zh-CN"/>
        </w:rPr>
        <w:t>坚持生态保护与价值转化相促进</w:t>
      </w:r>
      <w:bookmarkEnd w:id="47"/>
      <w:bookmarkEnd w:id="48"/>
      <w:r>
        <w:rPr>
          <w:rFonts w:hint="default" w:ascii="Times New Roman" w:hAnsi="Times New Roman" w:eastAsia="仿宋_GB2312" w:cs="Times New Roman"/>
          <w:b/>
          <w:bCs/>
          <w:color w:val="auto"/>
          <w:spacing w:val="4"/>
          <w:sz w:val="32"/>
          <w:szCs w:val="32"/>
          <w:highlight w:val="none"/>
          <w:shd w:val="clear" w:color="auto" w:fill="FFFFFF"/>
        </w:rPr>
        <w:t>。</w:t>
      </w:r>
      <w:r>
        <w:rPr>
          <w:rFonts w:hint="default" w:ascii="Times New Roman" w:hAnsi="Times New Roman" w:cs="Times New Roman"/>
          <w:b w:val="0"/>
          <w:bCs w:val="0"/>
          <w:color w:val="auto"/>
          <w:spacing w:val="4"/>
          <w:sz w:val="32"/>
          <w:szCs w:val="32"/>
          <w:highlight w:val="none"/>
          <w:shd w:val="clear" w:color="auto" w:fill="FFFFFF"/>
          <w:lang w:val="en-US" w:eastAsia="zh-CN"/>
        </w:rPr>
        <w:t>深刻理解和把握</w:t>
      </w:r>
      <w:r>
        <w:rPr>
          <w:rFonts w:hint="default" w:ascii="Times New Roman" w:hAnsi="Times New Roman" w:eastAsia="仿宋_GB2312" w:cs="Times New Roman"/>
          <w:color w:val="auto"/>
          <w:spacing w:val="4"/>
          <w:sz w:val="32"/>
          <w:szCs w:val="32"/>
          <w:highlight w:val="none"/>
          <w:shd w:val="clear" w:color="auto" w:fill="FFFFFF"/>
        </w:rPr>
        <w:t>习近平生态文明思想，</w:t>
      </w:r>
      <w:r>
        <w:rPr>
          <w:rFonts w:hint="default" w:ascii="Times New Roman" w:hAnsi="Times New Roman" w:cs="Times New Roman"/>
          <w:color w:val="auto"/>
          <w:spacing w:val="4"/>
          <w:sz w:val="32"/>
          <w:szCs w:val="32"/>
          <w:highlight w:val="none"/>
          <w:shd w:val="clear" w:color="auto" w:fill="FFFFFF"/>
          <w:lang w:val="en-US" w:eastAsia="zh-CN"/>
        </w:rPr>
        <w:t>深入</w:t>
      </w:r>
      <w:r>
        <w:rPr>
          <w:rFonts w:hint="default" w:ascii="Times New Roman" w:hAnsi="Times New Roman" w:eastAsia="仿宋_GB2312" w:cs="Times New Roman"/>
          <w:color w:val="auto"/>
          <w:spacing w:val="4"/>
          <w:sz w:val="32"/>
          <w:szCs w:val="32"/>
          <w:highlight w:val="none"/>
          <w:shd w:val="clear" w:color="auto" w:fill="FFFFFF"/>
        </w:rPr>
        <w:t>贯彻落实</w:t>
      </w:r>
      <w:r>
        <w:rPr>
          <w:rFonts w:hint="default" w:ascii="Times New Roman" w:hAnsi="Times New Roman" w:cs="Times New Roman"/>
          <w:color w:val="auto"/>
          <w:spacing w:val="4"/>
          <w:sz w:val="32"/>
          <w:szCs w:val="32"/>
          <w:highlight w:val="none"/>
          <w:shd w:val="clear" w:color="auto" w:fill="FFFFFF"/>
          <w:lang w:eastAsia="zh-CN"/>
        </w:rPr>
        <w:t>《</w:t>
      </w:r>
      <w:r>
        <w:rPr>
          <w:rFonts w:hint="default" w:ascii="Times New Roman" w:hAnsi="Times New Roman" w:eastAsia="仿宋_GB2312" w:cs="Times New Roman"/>
          <w:color w:val="auto"/>
          <w:spacing w:val="4"/>
          <w:sz w:val="32"/>
          <w:szCs w:val="32"/>
          <w:highlight w:val="none"/>
          <w:shd w:val="clear" w:color="auto" w:fill="FFFFFF"/>
        </w:rPr>
        <w:t>中共中央 国务院关于加快经济社会发展全面绿色转型的意见</w:t>
      </w:r>
      <w:r>
        <w:rPr>
          <w:rFonts w:hint="default" w:ascii="Times New Roman" w:hAnsi="Times New Roman" w:cs="Times New Roman"/>
          <w:color w:val="auto"/>
          <w:spacing w:val="4"/>
          <w:sz w:val="32"/>
          <w:szCs w:val="32"/>
          <w:highlight w:val="none"/>
          <w:shd w:val="clear" w:color="auto" w:fill="FFFFFF"/>
          <w:lang w:eastAsia="zh-CN"/>
        </w:rPr>
        <w:t>》。</w:t>
      </w:r>
      <w:r>
        <w:rPr>
          <w:rFonts w:hint="default" w:ascii="Times New Roman" w:hAnsi="Times New Roman" w:cs="Times New Roman"/>
          <w:color w:val="auto"/>
          <w:spacing w:val="4"/>
          <w:sz w:val="32"/>
          <w:szCs w:val="32"/>
          <w:highlight w:val="none"/>
          <w:shd w:val="clear" w:color="auto" w:fill="FFFFFF"/>
          <w:lang w:val="en-US" w:eastAsia="zh-CN"/>
        </w:rPr>
        <w:t>稳妥推进能源绿色低碳转型，</w:t>
      </w:r>
      <w:r>
        <w:rPr>
          <w:rFonts w:hint="default" w:ascii="Times New Roman" w:hAnsi="Times New Roman" w:eastAsia="仿宋_GB2312" w:cs="Times New Roman"/>
          <w:color w:val="auto"/>
          <w:spacing w:val="4"/>
          <w:sz w:val="32"/>
          <w:szCs w:val="32"/>
          <w:highlight w:val="none"/>
          <w:shd w:val="clear" w:color="auto" w:fill="FFFFFF"/>
        </w:rPr>
        <w:t>深入推动煤炭清洁高效利用</w:t>
      </w:r>
      <w:r>
        <w:rPr>
          <w:rFonts w:hint="default" w:ascii="Times New Roman" w:hAnsi="Times New Roman" w:cs="Times New Roman"/>
          <w:color w:val="auto"/>
          <w:spacing w:val="4"/>
          <w:sz w:val="32"/>
          <w:szCs w:val="32"/>
          <w:highlight w:val="none"/>
          <w:shd w:val="clear" w:color="auto" w:fill="FFFFFF"/>
          <w:lang w:eastAsia="zh-CN"/>
        </w:rPr>
        <w:t>。</w:t>
      </w:r>
      <w:r>
        <w:rPr>
          <w:rFonts w:hint="default" w:ascii="Times New Roman" w:hAnsi="Times New Roman" w:eastAsia="仿宋_GB2312" w:cs="Times New Roman"/>
          <w:color w:val="auto"/>
          <w:spacing w:val="4"/>
          <w:sz w:val="32"/>
          <w:szCs w:val="32"/>
          <w:highlight w:val="none"/>
          <w:shd w:val="clear" w:color="auto" w:fill="FFFFFF"/>
        </w:rPr>
        <w:t>加大生态环境治理力度</w:t>
      </w:r>
      <w:r>
        <w:rPr>
          <w:rFonts w:hint="default" w:ascii="Times New Roman" w:hAnsi="Times New Roman" w:cs="Times New Roman"/>
          <w:color w:val="auto"/>
          <w:spacing w:val="4"/>
          <w:sz w:val="32"/>
          <w:szCs w:val="32"/>
          <w:highlight w:val="none"/>
          <w:shd w:val="clear" w:color="auto" w:fill="FFFFFF"/>
          <w:lang w:eastAsia="zh-CN"/>
        </w:rPr>
        <w:t>，</w:t>
      </w:r>
      <w:r>
        <w:rPr>
          <w:rFonts w:hint="default" w:ascii="Times New Roman" w:hAnsi="Times New Roman" w:cs="Times New Roman"/>
          <w:color w:val="auto"/>
          <w:spacing w:val="4"/>
          <w:sz w:val="32"/>
          <w:szCs w:val="32"/>
          <w:highlight w:val="none"/>
          <w:shd w:val="clear" w:color="auto" w:fill="FFFFFF"/>
          <w:lang w:val="en-US" w:eastAsia="zh-CN"/>
        </w:rPr>
        <w:t>打造采煤沉陷区治理的潘集样板</w:t>
      </w:r>
      <w:r>
        <w:rPr>
          <w:rFonts w:hint="default" w:ascii="Times New Roman" w:hAnsi="Times New Roman" w:cs="Times New Roman"/>
          <w:color w:val="auto"/>
          <w:spacing w:val="4"/>
          <w:sz w:val="32"/>
          <w:szCs w:val="32"/>
          <w:highlight w:val="none"/>
          <w:shd w:val="clear" w:color="auto" w:fill="FFFFFF"/>
          <w:lang w:eastAsia="zh-CN"/>
        </w:rPr>
        <w:t>。</w:t>
      </w:r>
      <w:r>
        <w:rPr>
          <w:rFonts w:hint="default" w:ascii="Times New Roman" w:hAnsi="Times New Roman" w:eastAsia="仿宋_GB2312" w:cs="Times New Roman"/>
          <w:color w:val="auto"/>
          <w:spacing w:val="4"/>
          <w:sz w:val="32"/>
          <w:szCs w:val="32"/>
          <w:highlight w:val="none"/>
          <w:shd w:val="clear" w:color="auto" w:fill="FFFFFF"/>
        </w:rPr>
        <w:t>积极探索实现生态价值转换的有效途径，</w:t>
      </w:r>
      <w:r>
        <w:rPr>
          <w:rFonts w:hint="default" w:ascii="Times New Roman" w:hAnsi="Times New Roman" w:cs="Times New Roman"/>
          <w:color w:val="auto"/>
          <w:spacing w:val="4"/>
          <w:sz w:val="32"/>
          <w:szCs w:val="32"/>
          <w:highlight w:val="none"/>
          <w:shd w:val="clear" w:color="auto" w:fill="FFFFFF"/>
          <w:lang w:val="en-US" w:eastAsia="zh-CN"/>
        </w:rPr>
        <w:t>支持林下经济、生态旅游、生态康养等产业发展</w:t>
      </w:r>
      <w:r>
        <w:rPr>
          <w:rFonts w:hint="default" w:ascii="Times New Roman" w:hAnsi="Times New Roman" w:cs="Times New Roman"/>
          <w:color w:val="auto"/>
          <w:spacing w:val="4"/>
          <w:sz w:val="32"/>
          <w:szCs w:val="32"/>
          <w:highlight w:val="none"/>
          <w:shd w:val="clear" w:color="auto" w:fill="FFFFFF"/>
          <w:lang w:eastAsia="zh-CN"/>
        </w:rPr>
        <w:t>。</w:t>
      </w:r>
      <w:r>
        <w:rPr>
          <w:rFonts w:hint="default" w:ascii="Times New Roman" w:hAnsi="Times New Roman" w:cs="Times New Roman"/>
          <w:color w:val="auto"/>
          <w:spacing w:val="4"/>
          <w:sz w:val="32"/>
          <w:szCs w:val="32"/>
          <w:highlight w:val="none"/>
          <w:shd w:val="clear" w:color="auto" w:fill="FFFFFF"/>
          <w:lang w:val="en-US" w:eastAsia="zh-CN"/>
        </w:rPr>
        <w:t>加快建设全国资源型城市绿色转型发展示范区，构建生产空间集约高效、生活空间宜居适度、生态空间山清水秀，安全和谐、富有竞争力和可持续发展的国土空间新格局</w:t>
      </w:r>
      <w:r>
        <w:rPr>
          <w:rFonts w:hint="default" w:ascii="Times New Roman" w:hAnsi="Times New Roman" w:eastAsia="仿宋_GB2312" w:cs="Times New Roman"/>
          <w:color w:val="auto"/>
          <w:spacing w:val="4"/>
          <w:sz w:val="32"/>
          <w:szCs w:val="32"/>
          <w:highlight w:val="none"/>
          <w:shd w:val="clear" w:color="auto" w:fill="FFFFFF"/>
        </w:rPr>
        <w:t>。</w:t>
      </w:r>
      <w:bookmarkEnd w:id="49"/>
      <w:bookmarkEnd w:id="50"/>
      <w:bookmarkEnd w:id="51"/>
      <w:bookmarkEnd w:id="52"/>
      <w:bookmarkEnd w:id="53"/>
      <w:bookmarkEnd w:id="54"/>
      <w:bookmarkEnd w:id="55"/>
      <w:bookmarkEnd w:id="56"/>
      <w:bookmarkEnd w:id="57"/>
      <w:bookmarkEnd w:id="58"/>
    </w:p>
    <w:p>
      <w:pPr>
        <w:bidi w:val="0"/>
        <w:rPr>
          <w:rFonts w:hint="default" w:ascii="Times New Roman" w:hAnsi="Times New Roman" w:cs="Times New Roman"/>
          <w:lang w:val="en-US" w:eastAsia="zh-CN"/>
        </w:rPr>
      </w:pPr>
      <w:bookmarkStart w:id="59" w:name="_Toc1046777084"/>
      <w:bookmarkStart w:id="60" w:name="_Toc1345288660"/>
      <w:bookmarkStart w:id="61" w:name="_Toc564959614"/>
      <w:bookmarkStart w:id="62" w:name="_Toc204240471"/>
      <w:bookmarkStart w:id="63" w:name="_Toc203855534"/>
      <w:bookmarkStart w:id="64" w:name="_Toc388570578"/>
      <w:bookmarkStart w:id="65" w:name="_Toc21303"/>
      <w:bookmarkStart w:id="66" w:name="_Toc14232"/>
      <w:bookmarkStart w:id="67" w:name="_Toc203932822"/>
      <w:bookmarkStart w:id="68" w:name="_Toc1650404245"/>
      <w:bookmarkStart w:id="69" w:name="_Toc203855831"/>
      <w:bookmarkStart w:id="70" w:name="_Toc11097"/>
      <w:r>
        <w:rPr>
          <w:rFonts w:hint="default" w:ascii="Times New Roman" w:hAnsi="Times New Roman" w:eastAsia="仿宋_GB2312" w:cs="Times New Roman"/>
          <w:b/>
          <w:bCs/>
          <w:color w:val="auto"/>
          <w:spacing w:val="4"/>
          <w:sz w:val="32"/>
          <w:szCs w:val="32"/>
          <w:highlight w:val="none"/>
          <w:shd w:val="clear" w:color="auto" w:fill="FFFFFF"/>
        </w:rPr>
        <w:t>——</w:t>
      </w:r>
      <w:r>
        <w:rPr>
          <w:rFonts w:hint="default" w:ascii="Times New Roman" w:hAnsi="Times New Roman" w:eastAsia="楷体_GB2312" w:cs="Times New Roman"/>
          <w:b/>
          <w:bCs/>
          <w:color w:val="auto"/>
          <w:highlight w:val="none"/>
          <w:lang w:val="en-US" w:eastAsia="zh-CN"/>
        </w:rPr>
        <w:t>坚持经济发展与人的发展相统一</w:t>
      </w:r>
      <w:bookmarkEnd w:id="59"/>
      <w:bookmarkEnd w:id="60"/>
      <w:r>
        <w:rPr>
          <w:rFonts w:hint="default" w:ascii="Times New Roman" w:hAnsi="Times New Roman" w:eastAsia="楷体_GB2312" w:cs="Times New Roman"/>
          <w:b/>
          <w:bCs/>
          <w:color w:val="auto"/>
          <w:highlight w:val="none"/>
          <w:lang w:val="en-US" w:eastAsia="zh-CN"/>
        </w:rPr>
        <w:t>。</w:t>
      </w:r>
      <w:r>
        <w:rPr>
          <w:rFonts w:hint="default" w:ascii="Times New Roman" w:hAnsi="Times New Roman" w:cs="Times New Roman"/>
          <w:b w:val="0"/>
          <w:bCs w:val="0"/>
          <w:color w:val="auto"/>
          <w:spacing w:val="4"/>
          <w:sz w:val="32"/>
          <w:szCs w:val="32"/>
          <w:highlight w:val="none"/>
          <w:shd w:val="clear" w:color="auto" w:fill="FFFFFF"/>
          <w:lang w:val="en-US" w:eastAsia="zh-CN"/>
        </w:rPr>
        <w:t>深入</w:t>
      </w:r>
      <w:r>
        <w:rPr>
          <w:rFonts w:hint="default" w:ascii="Times New Roman" w:hAnsi="Times New Roman" w:eastAsia="仿宋_GB2312" w:cs="Times New Roman"/>
          <w:b w:val="0"/>
          <w:bCs w:val="0"/>
          <w:color w:val="auto"/>
          <w:spacing w:val="4"/>
          <w:sz w:val="32"/>
          <w:szCs w:val="32"/>
          <w:highlight w:val="none"/>
          <w:shd w:val="clear" w:color="auto" w:fill="FFFFFF"/>
        </w:rPr>
        <w:t>学习贯彻习近平总书记关于保障和改善民生的重要论述</w:t>
      </w:r>
      <w:r>
        <w:rPr>
          <w:rFonts w:hint="default" w:ascii="Times New Roman" w:hAnsi="Times New Roman" w:cs="Times New Roman"/>
          <w:b w:val="0"/>
          <w:bCs w:val="0"/>
          <w:color w:val="auto"/>
          <w:spacing w:val="4"/>
          <w:sz w:val="32"/>
          <w:szCs w:val="32"/>
          <w:highlight w:val="none"/>
          <w:shd w:val="clear" w:color="auto" w:fill="FFFFFF"/>
          <w:lang w:eastAsia="zh-CN"/>
        </w:rPr>
        <w:t>，</w:t>
      </w:r>
      <w:r>
        <w:rPr>
          <w:rFonts w:hint="default" w:ascii="Times New Roman" w:hAnsi="Times New Roman" w:cs="Times New Roman"/>
          <w:color w:val="auto"/>
          <w:spacing w:val="4"/>
          <w:sz w:val="32"/>
          <w:szCs w:val="32"/>
          <w:highlight w:val="none"/>
          <w:shd w:val="clear" w:color="auto" w:fill="FFFFFF"/>
          <w:lang w:val="en-US" w:eastAsia="zh-CN"/>
        </w:rPr>
        <w:t>积极践行</w:t>
      </w:r>
      <w:r>
        <w:rPr>
          <w:rFonts w:hint="default" w:ascii="Times New Roman" w:hAnsi="Times New Roman" w:eastAsia="仿宋_GB2312" w:cs="Times New Roman"/>
          <w:color w:val="auto"/>
          <w:spacing w:val="4"/>
          <w:sz w:val="32"/>
          <w:szCs w:val="32"/>
          <w:highlight w:val="none"/>
          <w:shd w:val="clear" w:color="auto" w:fill="FFFFFF"/>
        </w:rPr>
        <w:t>以人民为中心的发展思想</w:t>
      </w:r>
      <w:r>
        <w:rPr>
          <w:rFonts w:hint="default" w:ascii="Times New Roman" w:hAnsi="Times New Roman" w:cs="Times New Roman"/>
          <w:color w:val="auto"/>
          <w:spacing w:val="4"/>
          <w:sz w:val="32"/>
          <w:szCs w:val="32"/>
          <w:highlight w:val="none"/>
          <w:shd w:val="clear" w:color="auto" w:fill="FFFFFF"/>
          <w:lang w:eastAsia="zh-CN"/>
        </w:rPr>
        <w:t>。</w:t>
      </w:r>
      <w:r>
        <w:rPr>
          <w:rFonts w:hint="default" w:ascii="Times New Roman" w:hAnsi="Times New Roman" w:eastAsia="仿宋_GB2312" w:cs="Times New Roman"/>
          <w:color w:val="auto"/>
          <w:spacing w:val="4"/>
          <w:sz w:val="32"/>
          <w:szCs w:val="32"/>
          <w:highlight w:val="none"/>
          <w:shd w:val="clear" w:color="auto" w:fill="FFFFFF"/>
        </w:rPr>
        <w:t>推动更多资金资源“投资于人”、服务于民生，用心用情用力解决群众关心的就业、教育、社保、医疗、住房、养老、食品安全、社会治安等实际问题</w:t>
      </w:r>
      <w:r>
        <w:rPr>
          <w:rFonts w:hint="default" w:ascii="Times New Roman" w:hAnsi="Times New Roman" w:cs="Times New Roman"/>
          <w:color w:val="auto"/>
          <w:spacing w:val="4"/>
          <w:sz w:val="32"/>
          <w:szCs w:val="32"/>
          <w:highlight w:val="none"/>
          <w:shd w:val="clear" w:color="auto" w:fill="FFFFFF"/>
          <w:lang w:eastAsia="zh-CN"/>
        </w:rPr>
        <w:t>。</w:t>
      </w:r>
      <w:r>
        <w:rPr>
          <w:rFonts w:hint="default" w:ascii="Times New Roman" w:hAnsi="Times New Roman" w:eastAsia="仿宋_GB2312" w:cs="Times New Roman"/>
          <w:color w:val="auto"/>
          <w:spacing w:val="4"/>
          <w:sz w:val="32"/>
          <w:szCs w:val="32"/>
          <w:highlight w:val="none"/>
          <w:shd w:val="clear" w:color="auto" w:fill="FFFFFF"/>
        </w:rPr>
        <w:t>支持扩大就业、促进居民增收减负、加强消费激励，在保障和改善民生中培育新的经济增长点，形成经济发展和民生改善的良性循环。</w:t>
      </w:r>
      <w:bookmarkEnd w:id="61"/>
      <w:bookmarkEnd w:id="62"/>
      <w:bookmarkEnd w:id="63"/>
      <w:bookmarkEnd w:id="64"/>
      <w:bookmarkEnd w:id="65"/>
      <w:bookmarkEnd w:id="66"/>
      <w:bookmarkEnd w:id="67"/>
      <w:bookmarkEnd w:id="68"/>
      <w:bookmarkEnd w:id="69"/>
      <w:bookmarkEnd w:id="70"/>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71" w:name="_Toc25375"/>
      <w:r>
        <w:rPr>
          <w:rFonts w:hint="default" w:ascii="Times New Roman" w:hAnsi="Times New Roman" w:eastAsia="黑体" w:cs="Times New Roman"/>
          <w:b w:val="0"/>
          <w:bCs/>
          <w:lang w:val="en-US" w:eastAsia="zh-CN"/>
        </w:rPr>
        <w:t>第三节 战略定位</w:t>
      </w:r>
      <w:bookmarkEnd w:id="71"/>
    </w:p>
    <w:p>
      <w:pPr>
        <w:pageBreakBefore w:val="0"/>
        <w:kinsoku/>
        <w:wordWrap/>
        <w:overflowPunct/>
        <w:topLinePunct w:val="0"/>
        <w:autoSpaceDE/>
        <w:autoSpaceDN/>
        <w:bidi w:val="0"/>
        <w:adjustRightInd/>
        <w:spacing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立足自身基础和条件，前瞻更广区域和未来发展，潘集区“十五五”时期乃至更长一个时期的战略定位为：“一城三区”，努力建设新时代资源型城市高质量转型发展新标杆。</w:t>
      </w:r>
    </w:p>
    <w:p>
      <w:pPr>
        <w:pageBreakBefore w:val="0"/>
        <w:tabs>
          <w:tab w:val="left" w:pos="2560"/>
        </w:tabs>
        <w:kinsoku/>
        <w:wordWrap/>
        <w:overflowPunct/>
        <w:topLinePunct w:val="0"/>
        <w:autoSpaceDE/>
        <w:autoSpaceDN/>
        <w:bidi w:val="0"/>
        <w:adjustRightInd/>
        <w:spacing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eastAsia="楷体_GB2312" w:cs="Times New Roman"/>
          <w:b/>
          <w:bCs/>
          <w:color w:val="auto"/>
          <w:highlight w:val="none"/>
          <w:lang w:val="en-US" w:eastAsia="zh-CN"/>
        </w:rPr>
        <w:t>淮南市北部新城。</w:t>
      </w:r>
      <w:r>
        <w:rPr>
          <w:rFonts w:hint="default" w:ascii="Times New Roman" w:hAnsi="Times New Roman" w:cs="Times New Roman"/>
          <w:color w:val="auto"/>
          <w:highlight w:val="none"/>
          <w:lang w:val="en-US" w:eastAsia="zh-CN"/>
        </w:rPr>
        <w:t>立足淮南北部门户地理区位优势，加快构建“一城一镇一区三轴多点”的“111336”空间格局，重点围绕产业转型发展、生态环境修复、城市改造更新、生活品质改善等重点任务，不断拓展城市建设空间，加快基础设施建设，持续改善生态环境，提升城市能级，加快打造宜居宜业淮南市北部新城。</w:t>
      </w:r>
    </w:p>
    <w:p>
      <w:pPr>
        <w:pageBreakBefore w:val="0"/>
        <w:kinsoku/>
        <w:wordWrap/>
        <w:overflowPunct/>
        <w:topLinePunct w:val="0"/>
        <w:autoSpaceDE/>
        <w:autoSpaceDN/>
        <w:bidi w:val="0"/>
        <w:adjustRightInd/>
        <w:spacing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eastAsia="楷体_GB2312" w:cs="Times New Roman"/>
          <w:b/>
          <w:bCs/>
          <w:color w:val="auto"/>
          <w:highlight w:val="none"/>
          <w:lang w:val="en-US" w:eastAsia="zh-CN"/>
        </w:rPr>
        <w:t>综合能源先行区。</w:t>
      </w:r>
      <w:r>
        <w:rPr>
          <w:rFonts w:hint="default" w:ascii="Times New Roman" w:hAnsi="Times New Roman" w:cs="Times New Roman"/>
          <w:color w:val="auto"/>
          <w:highlight w:val="none"/>
          <w:lang w:val="en-US" w:eastAsia="zh-CN"/>
        </w:rPr>
        <w:t>坚持逐绿前行，开展能源产业“二次创业”，优化能源供给结构。全面服务华东地区能源保供基地建设，围绕“双碳”目标任务，紧抓支撑性电源建设，加强煤炭等化石能源兜底保障能力。</w:t>
      </w:r>
      <w:r>
        <w:rPr>
          <w:rFonts w:hint="default" w:cs="Times New Roman"/>
          <w:color w:val="auto"/>
          <w:highlight w:val="none"/>
          <w:lang w:val="en-US" w:eastAsia="zh-CN"/>
        </w:rPr>
        <w:t>大力推进</w:t>
      </w:r>
      <w:r>
        <w:rPr>
          <w:rFonts w:hint="default" w:ascii="Times New Roman" w:hAnsi="Times New Roman" w:cs="Times New Roman"/>
          <w:color w:val="auto"/>
          <w:highlight w:val="none"/>
          <w:lang w:val="en-US" w:eastAsia="zh-CN"/>
        </w:rPr>
        <w:t>清洁能源建设，因地制宜利用采煤沉陷区水面等资源建设集中式光伏电站，加快推动农村生物质资源利用，做好传统优势能源与风电、光伏、氢能、生物质能的多能互补、深度融合，将潘集打造成为全省乃至长三角地区的综合能源先行区。</w:t>
      </w:r>
    </w:p>
    <w:p>
      <w:pPr>
        <w:pageBreakBefore w:val="0"/>
        <w:kinsoku/>
        <w:wordWrap/>
        <w:overflowPunct/>
        <w:topLinePunct w:val="0"/>
        <w:autoSpaceDE/>
        <w:autoSpaceDN/>
        <w:bidi w:val="0"/>
        <w:adjustRightInd/>
        <w:spacing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eastAsia="楷体_GB2312" w:cs="Times New Roman"/>
          <w:b/>
          <w:bCs/>
          <w:color w:val="auto"/>
          <w:highlight w:val="none"/>
          <w:lang w:val="en-US" w:eastAsia="zh-CN"/>
        </w:rPr>
        <w:t>高新材料智造区。</w:t>
      </w:r>
      <w:r>
        <w:rPr>
          <w:rFonts w:hint="default" w:ascii="Times New Roman" w:hAnsi="Times New Roman" w:cs="Times New Roman"/>
          <w:color w:val="auto"/>
          <w:highlight w:val="none"/>
          <w:lang w:val="en-US" w:eastAsia="zh-CN"/>
        </w:rPr>
        <w:t>坚持把发展制造业作为实现高质量转型发展的根本所在，以科技创新引领产业创新，以产业转型带动城市转型。依托现代煤化工产业园、</w:t>
      </w:r>
      <w:r>
        <w:rPr>
          <w:rFonts w:hint="default" w:ascii="Times New Roman" w:hAnsi="Times New Roman" w:eastAsia="仿宋_GB2312" w:cs="Times New Roman"/>
          <w:color w:val="auto"/>
          <w:spacing w:val="0"/>
          <w:sz w:val="32"/>
          <w:szCs w:val="32"/>
          <w:highlight w:val="none"/>
          <w:lang w:val="en-US" w:bidi="en-US"/>
        </w:rPr>
        <w:t>国家级大宗固废综合利用基地</w:t>
      </w:r>
      <w:r>
        <w:rPr>
          <w:rFonts w:hint="default" w:ascii="Times New Roman" w:hAnsi="Times New Roman" w:cs="Times New Roman"/>
          <w:color w:val="auto"/>
          <w:spacing w:val="0"/>
          <w:sz w:val="32"/>
          <w:szCs w:val="32"/>
          <w:highlight w:val="none"/>
          <w:lang w:val="en-US" w:eastAsia="zh-CN" w:bidi="en-US"/>
        </w:rPr>
        <w:t>，</w:t>
      </w:r>
      <w:r>
        <w:rPr>
          <w:rFonts w:hint="default" w:ascii="Times New Roman" w:hAnsi="Times New Roman" w:cs="Times New Roman"/>
          <w:color w:val="auto"/>
          <w:highlight w:val="none"/>
          <w:lang w:val="en-US" w:eastAsia="zh-CN"/>
        </w:rPr>
        <w:t>紧抓皖北四大产业集群建设契机，不断延长煤炭产业链条，将潘集打造成品牌效应突出、服务功能完备的煤基新材料产业集聚区和发展高地。延伸发展</w:t>
      </w:r>
      <w:r>
        <w:rPr>
          <w:rFonts w:hint="eastAsia" w:cs="Times New Roman"/>
          <w:color w:val="auto"/>
          <w:highlight w:val="none"/>
          <w:lang w:val="en-US" w:eastAsia="zh-CN"/>
        </w:rPr>
        <w:t>高端电力装备</w:t>
      </w:r>
      <w:r>
        <w:rPr>
          <w:rFonts w:hint="default" w:ascii="Times New Roman" w:hAnsi="Times New Roman" w:cs="Times New Roman"/>
          <w:color w:val="auto"/>
          <w:highlight w:val="none"/>
          <w:lang w:val="en-US" w:eastAsia="zh-CN"/>
        </w:rPr>
        <w:t>、与淮南市协同配套发展新能源汽车零部件，推动产业结构从“一煤独大”向“多业共兴”转型。</w:t>
      </w:r>
    </w:p>
    <w:p>
      <w:pPr>
        <w:bidi w:val="0"/>
        <w:rPr>
          <w:rFonts w:hint="default" w:ascii="Times New Roman" w:hAnsi="Times New Roman" w:cs="Times New Roman"/>
          <w:lang w:val="en-US" w:eastAsia="zh-CN"/>
        </w:rPr>
      </w:pPr>
      <w:r>
        <w:rPr>
          <w:rFonts w:hint="default" w:ascii="Times New Roman" w:hAnsi="Times New Roman" w:eastAsia="楷体_GB2312" w:cs="Times New Roman"/>
          <w:b/>
          <w:bCs/>
          <w:color w:val="auto"/>
          <w:highlight w:val="none"/>
          <w:lang w:val="en-US" w:eastAsia="zh-CN"/>
        </w:rPr>
        <w:t>城乡融合生态区。</w:t>
      </w:r>
      <w:r>
        <w:rPr>
          <w:rFonts w:hint="default" w:ascii="Times New Roman" w:hAnsi="Times New Roman" w:cs="Times New Roman"/>
          <w:lang w:val="en-US" w:eastAsia="zh-CN"/>
        </w:rPr>
        <w:t>坚持扛牢粮食保供责任，发展乡村富民产业，不断巩固拓展脱贫攻坚成果，将新型城镇化和乡村全面振兴有机结合。努力实现人口向城区集中、农业向适度规模集中，推动城乡产业协同发展、统筹城乡基础设施建设，推进城乡基本公共服务均等化、促进城乡要素自由流动，构建城乡融合发展新格局。坚定不移走生态优先、节约集约、绿色低碳高质量发展道路，持续提升发展含绿量，为全市建设经济社会发展全面绿色转型示范城市贡献更多潘集智慧。</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72" w:name="_Toc25337"/>
      <w:r>
        <w:rPr>
          <w:rFonts w:hint="default" w:ascii="Times New Roman" w:hAnsi="Times New Roman" w:eastAsia="黑体" w:cs="Times New Roman"/>
          <w:b w:val="0"/>
          <w:bCs/>
          <w:lang w:val="en-US" w:eastAsia="zh-CN"/>
        </w:rPr>
        <w:t>第四节 空间布局</w:t>
      </w:r>
      <w:bookmarkEnd w:id="72"/>
    </w:p>
    <w:p>
      <w:pPr>
        <w:pageBreakBefore w:val="0"/>
        <w:kinsoku/>
        <w:wordWrap/>
        <w:overflowPunct/>
        <w:topLinePunct w:val="0"/>
        <w:autoSpaceDE/>
        <w:autoSpaceDN/>
        <w:bidi w:val="0"/>
        <w:adjustRightInd/>
        <w:spacing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突出“工业向园区集中、农业向适度规模集中、人口向城区集中、要素向重点区域集中”原则，全力构建“一城一镇一区三轴多点”的“111336”的总体发展空间布局。</w:t>
      </w:r>
    </w:p>
    <w:p>
      <w:pPr>
        <w:pageBreakBefore w:val="0"/>
        <w:kinsoku/>
        <w:wordWrap/>
        <w:overflowPunct/>
        <w:topLinePunct w:val="0"/>
        <w:autoSpaceDE/>
        <w:autoSpaceDN/>
        <w:bidi w:val="0"/>
        <w:adjustRightInd/>
        <w:spacing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eastAsia="楷体_GB2312" w:cs="Times New Roman"/>
          <w:b/>
          <w:bCs/>
          <w:color w:val="auto"/>
          <w:highlight w:val="none"/>
          <w:lang w:val="en-US" w:eastAsia="zh-CN"/>
        </w:rPr>
        <w:t>一城。</w:t>
      </w:r>
      <w:r>
        <w:rPr>
          <w:rFonts w:hint="default" w:ascii="Times New Roman" w:hAnsi="Times New Roman" w:cs="Times New Roman"/>
          <w:color w:val="auto"/>
          <w:highlight w:val="none"/>
          <w:lang w:val="en-US" w:eastAsia="zh-CN"/>
        </w:rPr>
        <w:t>着力推动田集街道主城区建设，以坚持城市内涵式发展为主线，以推进城市更新为重要抓手</w:t>
      </w:r>
      <w:r>
        <w:rPr>
          <w:rFonts w:hint="default" w:ascii="Times New Roman" w:hAnsi="Times New Roman" w:eastAsia="楷体_GB2312" w:cs="Times New Roman"/>
          <w:b w:val="0"/>
          <w:bCs w:val="0"/>
          <w:color w:val="auto"/>
          <w:highlight w:val="none"/>
          <w:lang w:val="en-US" w:eastAsia="zh-CN"/>
        </w:rPr>
        <w:t>，</w:t>
      </w:r>
      <w:r>
        <w:rPr>
          <w:rFonts w:hint="default" w:ascii="Times New Roman" w:hAnsi="Times New Roman" w:cs="Times New Roman"/>
          <w:color w:val="auto"/>
          <w:highlight w:val="none"/>
          <w:lang w:val="en-US" w:eastAsia="zh-CN"/>
        </w:rPr>
        <w:t>大力推动城市结构优化、动能转换、品质提升、绿色转型、文脉赓续、治理增效，牢牢守住城市安全底线。大力推动人口向城区集中，增强中心城区人口和要素资源集聚能力、产业承载能力以及辐射带动能力，全面打造产城深度融合区、城水交融生态区、高新材料示范区。</w:t>
      </w:r>
    </w:p>
    <w:p>
      <w:pPr>
        <w:pageBreakBefore w:val="0"/>
        <w:kinsoku/>
        <w:wordWrap/>
        <w:overflowPunct/>
        <w:topLinePunct w:val="0"/>
        <w:autoSpaceDE/>
        <w:autoSpaceDN/>
        <w:bidi w:val="0"/>
        <w:adjustRightInd/>
        <w:spacing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eastAsia="楷体_GB2312" w:cs="Times New Roman"/>
          <w:b/>
          <w:bCs/>
          <w:color w:val="auto"/>
          <w:highlight w:val="none"/>
          <w:lang w:val="en-US" w:eastAsia="zh-CN"/>
        </w:rPr>
        <w:t>一镇。</w:t>
      </w:r>
      <w:r>
        <w:rPr>
          <w:rFonts w:hint="default" w:ascii="Times New Roman" w:hAnsi="Times New Roman" w:cs="Times New Roman"/>
          <w:color w:val="auto"/>
          <w:highlight w:val="none"/>
          <w:lang w:val="en-US" w:eastAsia="zh-CN"/>
        </w:rPr>
        <w:t>加快建设平圩镇，锚定潘集副中心城区高质量发展为首要任务，坚持产城联动发展，依托平圩电厂、潘集经开区，</w:t>
      </w:r>
      <w:r>
        <w:rPr>
          <w:rFonts w:hint="default" w:cs="Times New Roman"/>
          <w:color w:val="auto"/>
          <w:highlight w:val="none"/>
          <w:lang w:val="en-US" w:eastAsia="zh-CN"/>
        </w:rPr>
        <w:t>积极</w:t>
      </w:r>
      <w:r>
        <w:rPr>
          <w:rFonts w:hint="default" w:ascii="Times New Roman" w:hAnsi="Times New Roman" w:cs="Times New Roman"/>
          <w:color w:val="auto"/>
          <w:highlight w:val="none"/>
          <w:lang w:val="en-US" w:eastAsia="zh-CN"/>
        </w:rPr>
        <w:t>承载主城区产业辐射，大力发展商贸、物流、现代服务等产业，加强人居环境整治，全面打造化工新材智造基地、城园融合产业高地、宜居宜业滨河新城。</w:t>
      </w:r>
    </w:p>
    <w:p>
      <w:pPr>
        <w:pageBreakBefore w:val="0"/>
        <w:kinsoku/>
        <w:wordWrap/>
        <w:overflowPunct/>
        <w:topLinePunct w:val="0"/>
        <w:autoSpaceDE/>
        <w:autoSpaceDN/>
        <w:bidi w:val="0"/>
        <w:adjustRightInd/>
        <w:spacing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eastAsia="楷体_GB2312" w:cs="Times New Roman"/>
          <w:b/>
          <w:bCs/>
          <w:color w:val="auto"/>
          <w:highlight w:val="none"/>
          <w:lang w:val="en-US" w:eastAsia="zh-CN"/>
        </w:rPr>
        <w:t>一区。</w:t>
      </w:r>
      <w:r>
        <w:rPr>
          <w:rFonts w:hint="default" w:ascii="Times New Roman" w:hAnsi="Times New Roman" w:cs="Times New Roman"/>
          <w:color w:val="auto"/>
          <w:highlight w:val="none"/>
          <w:lang w:val="en-US" w:eastAsia="zh-CN"/>
        </w:rPr>
        <w:t>坚持把潘集经开区北区作为全区经济发展主战场，实施“一区多园”战略〔潘集经济开发区（北区）、绿色食品产业园、固废产业园、潘东新城智造园、新材料产业园〕，加快推进“管委会+公司”“亩均论英雄”“标准地”等改革，强化与现代煤化工产业园对接服务保障，推进产城融合发展，完善园区基础设施配套，夯实全区高质量转型发展基础。</w:t>
      </w:r>
    </w:p>
    <w:p>
      <w:pPr>
        <w:pageBreakBefore w:val="0"/>
        <w:kinsoku/>
        <w:wordWrap/>
        <w:overflowPunct/>
        <w:topLinePunct w:val="0"/>
        <w:autoSpaceDE/>
        <w:autoSpaceDN/>
        <w:bidi w:val="0"/>
        <w:adjustRightInd/>
        <w:spacing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eastAsia="楷体_GB2312" w:cs="Times New Roman"/>
          <w:b/>
          <w:bCs/>
          <w:color w:val="auto"/>
          <w:highlight w:val="none"/>
          <w:lang w:val="en-US" w:eastAsia="zh-CN"/>
        </w:rPr>
        <w:t>三轴。</w:t>
      </w:r>
      <w:r>
        <w:rPr>
          <w:rFonts w:hint="default" w:ascii="Times New Roman" w:hAnsi="Times New Roman" w:cs="Times New Roman"/>
          <w:color w:val="auto"/>
          <w:highlight w:val="none"/>
          <w:lang w:val="en-US" w:eastAsia="zh-CN"/>
        </w:rPr>
        <w:t>重点打造淮潘公路经济发展轴、滨河经济发展轴、高速公路经济发展轴，依托淮河黄金水道、引江济淮工程、淮潘公路、S63高速的交通优势，串联镇区和周边村庄，推动产业发展沿三条轴线集聚。重点依托淮南港沿线架河作业区、祁集作业区、平圩作业区，大力发展临港经济，逐步形成公水联运、铁水联运交通服务体系。</w:t>
      </w:r>
    </w:p>
    <w:p>
      <w:pPr>
        <w:pageBreakBefore w:val="0"/>
        <w:kinsoku/>
        <w:wordWrap/>
        <w:overflowPunct/>
        <w:topLinePunct w:val="0"/>
        <w:autoSpaceDE/>
        <w:autoSpaceDN/>
        <w:bidi w:val="0"/>
        <w:adjustRightInd/>
        <w:spacing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eastAsia="楷体_GB2312" w:cs="Times New Roman"/>
          <w:b/>
          <w:bCs/>
          <w:color w:val="auto"/>
          <w:highlight w:val="none"/>
          <w:lang w:val="en-US" w:eastAsia="zh-CN"/>
        </w:rPr>
        <w:t>三个重点镇。</w:t>
      </w:r>
      <w:r>
        <w:rPr>
          <w:rFonts w:hint="default" w:ascii="Times New Roman" w:hAnsi="Times New Roman" w:cs="Times New Roman"/>
          <w:color w:val="auto"/>
          <w:highlight w:val="none"/>
          <w:lang w:val="en-US" w:eastAsia="zh-CN"/>
        </w:rPr>
        <w:t>建设高皇镇、古沟回族乡、架河镇三个重点乡镇。高皇镇重点围绕“淮南市农产品主产区</w:t>
      </w:r>
      <w:r>
        <w:rPr>
          <w:rFonts w:hint="default" w:cs="Times New Roman"/>
          <w:color w:val="auto"/>
          <w:highlight w:val="none"/>
          <w:lang w:val="en-US" w:eastAsia="zh-CN"/>
        </w:rPr>
        <w:t>、</w:t>
      </w:r>
      <w:r>
        <w:rPr>
          <w:rFonts w:hint="default" w:ascii="Times New Roman" w:hAnsi="Times New Roman" w:cs="Times New Roman"/>
          <w:color w:val="auto"/>
          <w:highlight w:val="none"/>
          <w:lang w:val="en-US" w:eastAsia="zh-CN"/>
        </w:rPr>
        <w:t>安徽省蔬菜产业三产融合发展示范基地</w:t>
      </w:r>
      <w:r>
        <w:rPr>
          <w:rFonts w:hint="default" w:cs="Times New Roman"/>
          <w:color w:val="auto"/>
          <w:highlight w:val="none"/>
          <w:lang w:val="en-US" w:eastAsia="zh-CN"/>
        </w:rPr>
        <w:t>、</w:t>
      </w:r>
      <w:r>
        <w:rPr>
          <w:rFonts w:hint="default" w:ascii="Times New Roman" w:hAnsi="Times New Roman" w:cs="Times New Roman"/>
          <w:color w:val="auto"/>
          <w:highlight w:val="none"/>
          <w:lang w:val="en-US" w:eastAsia="zh-CN"/>
        </w:rPr>
        <w:t>长三角绿色农产品供应基地”的定位，大力推动果蔬产业、乡村旅游发展，着力打造淮水果蔬重镇，生态乡旅高皇；古沟回族乡加强与田集街道、泥河镇、平圩镇等周边地区的统筹发展和旅游一体化布局，着力打造淮南北部具有地域特色的现代农业高品质发展示范区；架河镇充分发挥作为潘集连接淮南主城区的重要节点优势，着力打造能源重镇</w:t>
      </w:r>
      <w:r>
        <w:rPr>
          <w:rFonts w:hint="default" w:cs="Times New Roman"/>
          <w:color w:val="auto"/>
          <w:highlight w:val="none"/>
          <w:lang w:val="en-US" w:eastAsia="zh-CN"/>
        </w:rPr>
        <w:t>、</w:t>
      </w:r>
      <w:r>
        <w:rPr>
          <w:rFonts w:hint="default" w:ascii="Times New Roman" w:hAnsi="Times New Roman" w:cs="Times New Roman"/>
          <w:color w:val="auto"/>
          <w:highlight w:val="none"/>
          <w:lang w:val="en-US" w:eastAsia="zh-CN"/>
        </w:rPr>
        <w:t>淮河风情旅游小镇</w:t>
      </w:r>
      <w:r>
        <w:rPr>
          <w:rFonts w:hint="default" w:cs="Times New Roman"/>
          <w:color w:val="auto"/>
          <w:highlight w:val="none"/>
          <w:lang w:val="en-US" w:eastAsia="zh-CN"/>
        </w:rPr>
        <w:t>、</w:t>
      </w:r>
      <w:r>
        <w:rPr>
          <w:rFonts w:hint="default" w:ascii="Times New Roman" w:hAnsi="Times New Roman" w:cs="Times New Roman"/>
          <w:color w:val="auto"/>
          <w:highlight w:val="none"/>
          <w:lang w:val="en-US" w:eastAsia="zh-CN"/>
        </w:rPr>
        <w:t>近郊优质粮油蔬果种植示范镇。</w:t>
      </w:r>
    </w:p>
    <w:p>
      <w:pPr>
        <w:pageBreakBefore w:val="0"/>
        <w:kinsoku/>
        <w:wordWrap/>
        <w:overflowPunct/>
        <w:topLinePunct w:val="0"/>
        <w:autoSpaceDE/>
        <w:autoSpaceDN/>
        <w:bidi w:val="0"/>
        <w:adjustRightInd/>
        <w:spacing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eastAsia="楷体_GB2312" w:cs="Times New Roman"/>
          <w:b/>
          <w:bCs/>
          <w:color w:val="auto"/>
          <w:highlight w:val="none"/>
          <w:lang w:val="en-US" w:eastAsia="zh-CN"/>
        </w:rPr>
        <w:t>六个特色镇</w:t>
      </w:r>
      <w:r>
        <w:rPr>
          <w:rFonts w:hint="default" w:ascii="Times New Roman" w:hAnsi="Times New Roman" w:cs="Times New Roman"/>
          <w:b/>
          <w:bCs/>
          <w:color w:val="auto"/>
          <w:highlight w:val="none"/>
          <w:lang w:val="en-US" w:eastAsia="zh-CN"/>
        </w:rPr>
        <w:t>。</w:t>
      </w:r>
      <w:r>
        <w:rPr>
          <w:rFonts w:hint="default" w:ascii="Times New Roman" w:hAnsi="Times New Roman" w:cs="Times New Roman"/>
          <w:color w:val="auto"/>
          <w:highlight w:val="none"/>
          <w:lang w:val="en-US" w:eastAsia="zh-CN"/>
        </w:rPr>
        <w:t>打造祁集镇、芦集镇、夹沟镇、泥河镇、潘集镇、贺疃镇六个特色镇，积极构筑全区城乡一体化融合发展和乡村全面振兴的重要承载地。祁集镇定位为以煤化工配套产业与服务业为主的工贸型城镇；芦集镇以农业全面升级为主线，定位现代化生态富民强镇；夹沟镇打造农产品加工基地，定位产业融合重镇；泥河镇定位为采煤沉陷区生态修复与现代农业融合发展的示范型特色镇；潘集镇定位淮南北部采煤沉陷生态修复治理示范区、潘集区资源型绿色转型创新镇、现代生态循环农业示范镇；贺疃镇定位淮南市北部矿乡统筹发展示范区、特色农业高品质发展示范区。</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kern w:val="2"/>
          <w:sz w:val="30"/>
          <w:szCs w:val="30"/>
          <w:highlight w:val="none"/>
          <w:lang w:val="en-US" w:eastAsia="zh-CN" w:bidi="ar-SA"/>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page">
              <wp:align>center</wp:align>
            </wp:positionH>
            <wp:positionV relativeFrom="paragraph">
              <wp:posOffset>125730</wp:posOffset>
            </wp:positionV>
            <wp:extent cx="4672330" cy="3895090"/>
            <wp:effectExtent l="0" t="0" r="13970" b="1016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672330" cy="3895090"/>
                    </a:xfrm>
                    <a:prstGeom prst="rect">
                      <a:avLst/>
                    </a:prstGeom>
                    <a:noFill/>
                    <a:ln>
                      <a:noFill/>
                    </a:ln>
                  </pic:spPr>
                </pic:pic>
              </a:graphicData>
            </a:graphic>
          </wp:anchor>
        </w:drawing>
      </w:r>
      <w:r>
        <w:rPr>
          <w:rFonts w:hint="default" w:ascii="Times New Roman" w:hAnsi="Times New Roman" w:eastAsia="黑体" w:cs="Times New Roman"/>
          <w:b w:val="0"/>
          <w:bCs/>
          <w:kern w:val="2"/>
          <w:sz w:val="30"/>
          <w:szCs w:val="30"/>
          <w:highlight w:val="none"/>
          <w:lang w:val="en-US" w:eastAsia="zh-CN" w:bidi="ar-SA"/>
        </w:rPr>
        <w:t>图1 构建“111336”的国土空间总体格局</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kern w:val="2"/>
          <w:sz w:val="30"/>
          <w:szCs w:val="30"/>
          <w:highlight w:val="none"/>
          <w:lang w:val="en-US" w:eastAsia="zh-CN" w:bidi="ar-SA"/>
        </w:rPr>
      </w:pP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73" w:name="_Toc15798"/>
      <w:r>
        <w:rPr>
          <w:rFonts w:hint="default" w:ascii="Times New Roman" w:hAnsi="Times New Roman" w:eastAsia="黑体" w:cs="Times New Roman"/>
          <w:b w:val="0"/>
          <w:bCs/>
          <w:lang w:val="en-US" w:eastAsia="zh-CN"/>
        </w:rPr>
        <w:t>第五节 发展目标</w:t>
      </w:r>
      <w:bookmarkEnd w:id="73"/>
    </w:p>
    <w:p>
      <w:pPr>
        <w:pageBreakBefore w:val="0"/>
        <w:kinsoku/>
        <w:wordWrap/>
        <w:overflowPunct/>
        <w:topLinePunct w:val="0"/>
        <w:autoSpaceDE/>
        <w:autoSpaceDN/>
        <w:bidi w:val="0"/>
        <w:adjustRightInd/>
        <w:spacing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“十五五”时期，重点围绕“一城三区”的战略定位，努力实现八大目标。</w:t>
      </w:r>
    </w:p>
    <w:p>
      <w:pPr>
        <w:bidi w:val="0"/>
        <w:outlineLvl w:val="2"/>
        <w:rPr>
          <w:rFonts w:hint="default" w:ascii="Times New Roman" w:hAnsi="Times New Roman" w:cs="Times New Roman"/>
          <w:lang w:val="en-US" w:eastAsia="zh-CN"/>
        </w:rPr>
      </w:pPr>
      <w:r>
        <w:rPr>
          <w:rStyle w:val="16"/>
          <w:rFonts w:hint="default" w:ascii="Times New Roman" w:hAnsi="Times New Roman" w:cs="Times New Roman"/>
          <w:lang w:val="en-US" w:eastAsia="zh-CN"/>
        </w:rPr>
        <w:t>综合实力大提升，力求更牢基础、更前位次。</w:t>
      </w:r>
      <w:r>
        <w:rPr>
          <w:rFonts w:hint="default" w:ascii="Times New Roman" w:hAnsi="Times New Roman" w:cs="Times New Roman"/>
          <w:lang w:val="en-US" w:eastAsia="zh-CN"/>
        </w:rPr>
        <w:t>经济发展实现质的有效提升和量的合理增长，经济增速总体高于全国、全省、全市平均水平，有效投资持续扩大，文旅、养老等消费新增长点不断培育壮大，消费的基础性作用和投资的关键</w:t>
      </w:r>
      <w:r>
        <w:rPr>
          <w:rFonts w:hint="default" w:cs="Times New Roman"/>
          <w:lang w:val="en-US" w:eastAsia="zh-CN"/>
        </w:rPr>
        <w:t>性</w:t>
      </w:r>
      <w:r>
        <w:rPr>
          <w:rFonts w:hint="default" w:ascii="Times New Roman" w:hAnsi="Times New Roman" w:cs="Times New Roman"/>
          <w:lang w:val="en-US" w:eastAsia="zh-CN"/>
        </w:rPr>
        <w:t>作用进一步增强。力争到2030年，地区生产总值突破X亿元、年均增速X%左右，社会消费品总额实现70.76亿元、年均增长5.5%，进出口总额</w:t>
      </w:r>
      <w:r>
        <w:rPr>
          <w:rFonts w:hint="default" w:cs="Times New Roman"/>
          <w:lang w:val="en-US" w:eastAsia="zh-CN"/>
        </w:rPr>
        <w:t>达到</w:t>
      </w:r>
      <w:r>
        <w:rPr>
          <w:rFonts w:hint="default" w:ascii="Times New Roman" w:hAnsi="Times New Roman" w:cs="Times New Roman"/>
          <w:lang w:val="en-US" w:eastAsia="zh-CN"/>
        </w:rPr>
        <w:t>5000万美元，全区固定资产投资增长X%左右。</w:t>
      </w:r>
    </w:p>
    <w:p>
      <w:pPr>
        <w:bidi w:val="0"/>
        <w:outlineLvl w:val="2"/>
        <w:rPr>
          <w:rFonts w:hint="default" w:ascii="Times New Roman" w:hAnsi="Times New Roman" w:cs="Times New Roman"/>
          <w:lang w:val="en-US" w:eastAsia="zh-CN"/>
        </w:rPr>
      </w:pPr>
      <w:r>
        <w:rPr>
          <w:rStyle w:val="16"/>
          <w:rFonts w:hint="default" w:ascii="Times New Roman" w:hAnsi="Times New Roman" w:cs="Times New Roman"/>
          <w:lang w:val="en-US" w:eastAsia="zh-CN"/>
        </w:rPr>
        <w:t>产业结构大提升，力求更强工业、更优结构。</w:t>
      </w:r>
      <w:r>
        <w:rPr>
          <w:rFonts w:hint="default" w:ascii="Times New Roman" w:hAnsi="Times New Roman" w:cs="Times New Roman"/>
          <w:lang w:val="en-US" w:eastAsia="zh-CN"/>
        </w:rPr>
        <w:t>三次产业结构进一步优化，传统产业智改数转绿提</w:t>
      </w:r>
      <w:r>
        <w:rPr>
          <w:rFonts w:hint="default" w:cs="Times New Roman"/>
          <w:lang w:val="en-US" w:eastAsia="zh-CN"/>
        </w:rPr>
        <w:t>，</w:t>
      </w:r>
      <w:r>
        <w:rPr>
          <w:rFonts w:hint="default" w:ascii="Times New Roman" w:hAnsi="Times New Roman" w:cs="Times New Roman"/>
          <w:lang w:val="en-US" w:eastAsia="zh-CN"/>
        </w:rPr>
        <w:t>非煤产业占工业比重大幅提升</w:t>
      </w:r>
      <w:r>
        <w:rPr>
          <w:rFonts w:hint="default" w:cs="Times New Roman"/>
          <w:lang w:val="en-US" w:eastAsia="zh-CN"/>
        </w:rPr>
        <w:t>，</w:t>
      </w:r>
      <w:r>
        <w:rPr>
          <w:rFonts w:hint="default" w:ascii="Times New Roman" w:hAnsi="Times New Roman" w:cs="Times New Roman"/>
          <w:lang w:val="en-US" w:eastAsia="zh-CN"/>
        </w:rPr>
        <w:t>战略性新兴产业、现代服务业扩量提质，未来产业有所突破，新旧动能实现顺利接替，具有潘集特色的现代化产业体系基本建成。力争到2030年，工业总产值突破600亿元，规上工业企业数量增长至130家以上，规上工业增加值年均增速达到8%，全区大幅降低对传统煤炭产业的依赖，高新技术产业增加值占规上工业比重提升至45%以上，煤炭清洁高效利用、大宗固废资源化、新能源材料等新兴产业产值占比超30%。</w:t>
      </w:r>
    </w:p>
    <w:p>
      <w:pPr>
        <w:pageBreakBefore w:val="0"/>
        <w:kinsoku/>
        <w:wordWrap/>
        <w:overflowPunct/>
        <w:topLinePunct w:val="0"/>
        <w:autoSpaceDE/>
        <w:autoSpaceDN/>
        <w:bidi w:val="0"/>
        <w:adjustRightInd/>
        <w:spacing w:line="600" w:lineRule="exact"/>
        <w:textAlignment w:val="auto"/>
        <w:outlineLvl w:val="2"/>
        <w:rPr>
          <w:rFonts w:hint="default" w:ascii="Times New Roman" w:hAnsi="Times New Roman" w:eastAsia="楷体_GB2312" w:cs="Times New Roman"/>
          <w:b/>
          <w:bCs/>
          <w:color w:val="auto"/>
          <w:highlight w:val="none"/>
          <w:lang w:val="en-US" w:eastAsia="zh-CN"/>
        </w:rPr>
      </w:pPr>
      <w:r>
        <w:rPr>
          <w:rFonts w:hint="default" w:ascii="Times New Roman" w:hAnsi="Times New Roman" w:eastAsia="楷体_GB2312" w:cs="Times New Roman"/>
          <w:b/>
          <w:bCs/>
          <w:color w:val="auto"/>
          <w:highlight w:val="none"/>
          <w:lang w:val="en-US" w:eastAsia="zh-CN"/>
        </w:rPr>
        <w:t>创新能力大提升，力求更多平台</w:t>
      </w:r>
      <w:r>
        <w:rPr>
          <w:rFonts w:hint="default" w:eastAsia="楷体_GB2312" w:cs="Times New Roman"/>
          <w:b/>
          <w:bCs/>
          <w:color w:val="auto"/>
          <w:highlight w:val="none"/>
          <w:lang w:val="en-US" w:eastAsia="zh-CN"/>
        </w:rPr>
        <w:t>、</w:t>
      </w:r>
      <w:r>
        <w:rPr>
          <w:rFonts w:hint="default" w:ascii="Times New Roman" w:hAnsi="Times New Roman" w:eastAsia="楷体_GB2312" w:cs="Times New Roman"/>
          <w:b/>
          <w:bCs/>
          <w:color w:val="auto"/>
          <w:highlight w:val="none"/>
          <w:lang w:val="en-US" w:eastAsia="zh-CN"/>
        </w:rPr>
        <w:t>更足动能。</w:t>
      </w:r>
      <w:r>
        <w:rPr>
          <w:rFonts w:hint="default" w:ascii="Times New Roman" w:hAnsi="Times New Roman" w:cs="Times New Roman"/>
          <w:color w:val="auto"/>
          <w:highlight w:val="none"/>
          <w:lang w:val="en-US" w:eastAsia="zh-CN"/>
        </w:rPr>
        <w:t>区域创新能力显著增强，创新主体数量进一步倍增，创新平台能级不断提升，产学研持续深度融合，科技成果转化</w:t>
      </w:r>
      <w:r>
        <w:rPr>
          <w:rFonts w:hint="default" w:cs="Times New Roman"/>
          <w:color w:val="auto"/>
          <w:highlight w:val="none"/>
          <w:lang w:val="en-US" w:eastAsia="zh-CN"/>
        </w:rPr>
        <w:t>机制健全完善</w:t>
      </w:r>
      <w:r>
        <w:rPr>
          <w:rFonts w:hint="default" w:ascii="Times New Roman" w:hAnsi="Times New Roman" w:cs="Times New Roman"/>
          <w:color w:val="auto"/>
          <w:highlight w:val="none"/>
          <w:lang w:val="en-US" w:eastAsia="zh-CN"/>
        </w:rPr>
        <w:t>，工业企业的自主创新能力和核心竞争力</w:t>
      </w:r>
      <w:r>
        <w:rPr>
          <w:rFonts w:hint="default" w:cs="Times New Roman"/>
          <w:color w:val="auto"/>
          <w:highlight w:val="none"/>
          <w:lang w:val="en-US" w:eastAsia="zh-CN"/>
        </w:rPr>
        <w:t>有效</w:t>
      </w:r>
      <w:r>
        <w:rPr>
          <w:rFonts w:hint="default" w:ascii="Times New Roman" w:hAnsi="Times New Roman" w:cs="Times New Roman"/>
          <w:color w:val="auto"/>
          <w:highlight w:val="none"/>
          <w:lang w:val="en-US" w:eastAsia="zh-CN"/>
        </w:rPr>
        <w:t>提高，新质生产力加快培育。力争到2030年R&amp;D经费投入占GDP比重达到X%，科技型中小企业入库超100家。</w:t>
      </w:r>
    </w:p>
    <w:p>
      <w:pPr>
        <w:pageBreakBefore w:val="0"/>
        <w:kinsoku/>
        <w:wordWrap/>
        <w:overflowPunct/>
        <w:topLinePunct w:val="0"/>
        <w:autoSpaceDE/>
        <w:autoSpaceDN/>
        <w:bidi w:val="0"/>
        <w:adjustRightInd/>
        <w:spacing w:line="600" w:lineRule="exact"/>
        <w:textAlignment w:val="auto"/>
        <w:outlineLvl w:val="2"/>
        <w:rPr>
          <w:rFonts w:hint="default" w:ascii="Times New Roman" w:hAnsi="Times New Roman" w:eastAsia="楷体_GB2312" w:cs="Times New Roman"/>
          <w:b/>
          <w:bCs/>
          <w:color w:val="auto"/>
          <w:highlight w:val="none"/>
          <w:lang w:val="en-US" w:eastAsia="zh-CN"/>
        </w:rPr>
      </w:pPr>
      <w:r>
        <w:rPr>
          <w:rFonts w:hint="default" w:ascii="Times New Roman" w:hAnsi="Times New Roman" w:eastAsia="楷体_GB2312" w:cs="Times New Roman"/>
          <w:b/>
          <w:bCs/>
          <w:color w:val="auto"/>
          <w:highlight w:val="none"/>
          <w:lang w:val="en-US" w:eastAsia="zh-CN"/>
        </w:rPr>
        <w:t>改革效能大提升，力求更暖服务、更活市场。</w:t>
      </w:r>
      <w:r>
        <w:rPr>
          <w:rFonts w:hint="default" w:ascii="Times New Roman" w:hAnsi="Times New Roman" w:eastAsia="仿宋_GB2312" w:cs="Times New Roman"/>
          <w:b w:val="0"/>
          <w:bCs w:val="0"/>
          <w:color w:val="auto"/>
          <w:highlight w:val="none"/>
          <w:lang w:val="en-US" w:eastAsia="zh-CN"/>
        </w:rPr>
        <w:t>紧紧扭住经济体制改革这个“牛鼻子”，重点领域和关键环节持续攻坚突破，园区转型改革发展取得明显成效</w:t>
      </w:r>
      <w:r>
        <w:rPr>
          <w:rFonts w:hint="default" w:cs="Times New Roman"/>
          <w:b w:val="0"/>
          <w:bCs w:val="0"/>
          <w:color w:val="auto"/>
          <w:highlight w:val="none"/>
          <w:lang w:val="en-US" w:eastAsia="zh-CN"/>
        </w:rPr>
        <w:t>，</w:t>
      </w:r>
      <w:r>
        <w:rPr>
          <w:rFonts w:hint="default" w:ascii="Times New Roman" w:hAnsi="Times New Roman" w:eastAsia="仿宋_GB2312" w:cs="Times New Roman"/>
          <w:b w:val="0"/>
          <w:bCs w:val="0"/>
          <w:color w:val="auto"/>
          <w:highlight w:val="none"/>
          <w:lang w:val="en-US" w:eastAsia="zh-CN"/>
        </w:rPr>
        <w:t>“管委会+公司”模式进一步健全完善，国企国资改革、农村“三资”改革、营商环境建设等持续深化。全面对接融入长三角一体化、合肥都市圈、皖北振兴等重大战略，招商引资</w:t>
      </w:r>
      <w:r>
        <w:rPr>
          <w:rFonts w:hint="default" w:cs="Times New Roman"/>
          <w:b w:val="0"/>
          <w:bCs w:val="0"/>
          <w:color w:val="auto"/>
          <w:highlight w:val="none"/>
          <w:lang w:val="en-US" w:eastAsia="zh-CN"/>
        </w:rPr>
        <w:t>质效不断提升</w:t>
      </w:r>
      <w:r>
        <w:rPr>
          <w:rFonts w:hint="default" w:ascii="Times New Roman" w:hAnsi="Times New Roman" w:eastAsia="仿宋_GB2312" w:cs="Times New Roman"/>
          <w:b w:val="0"/>
          <w:bCs w:val="0"/>
          <w:color w:val="auto"/>
          <w:highlight w:val="none"/>
          <w:lang w:val="en-US" w:eastAsia="zh-CN"/>
        </w:rPr>
        <w:t>，一批重大项目加速落地、推进，外贸进出口、实际利用外资保持合理增长。</w:t>
      </w:r>
    </w:p>
    <w:p>
      <w:pPr>
        <w:bidi w:val="0"/>
        <w:outlineLvl w:val="2"/>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楷体_GB2312" w:cs="Times New Roman"/>
          <w:b/>
          <w:bCs/>
          <w:color w:val="auto"/>
          <w:highlight w:val="none"/>
          <w:lang w:val="en-US" w:eastAsia="zh-CN"/>
        </w:rPr>
        <w:t>城乡融合大提升，力求更靓城市、更美乡村。</w:t>
      </w:r>
      <w:r>
        <w:rPr>
          <w:rFonts w:hint="default" w:ascii="Times New Roman" w:hAnsi="Times New Roman" w:eastAsia="仿宋_GB2312" w:cs="Times New Roman"/>
          <w:b w:val="0"/>
          <w:bCs w:val="0"/>
          <w:color w:val="auto"/>
          <w:highlight w:val="none"/>
          <w:lang w:val="en-US" w:eastAsia="zh-CN"/>
        </w:rPr>
        <w:t>国土空间开发格局不断优化，乡村全面振兴取得决定性进展，农业农村现代化水平显著跃升，巩固拓展脱贫攻坚成果再上新台阶，共同富裕迈出坚实步伐，力争到2030年，建设省级以上农业科技平台2个，特色产业（贡米</w:t>
      </w:r>
      <w:r>
        <w:rPr>
          <w:rFonts w:hint="default" w:cs="Times New Roman"/>
          <w:b w:val="0"/>
          <w:bCs w:val="0"/>
          <w:color w:val="auto"/>
          <w:highlight w:val="none"/>
          <w:lang w:val="en-US" w:eastAsia="zh-CN"/>
        </w:rPr>
        <w:t>、酥瓜</w:t>
      </w:r>
      <w:r>
        <w:rPr>
          <w:rFonts w:hint="default" w:ascii="Times New Roman" w:hAnsi="Times New Roman" w:eastAsia="仿宋_GB2312" w:cs="Times New Roman"/>
          <w:b w:val="0"/>
          <w:bCs w:val="0"/>
          <w:color w:val="auto"/>
          <w:highlight w:val="none"/>
          <w:lang w:val="en-US" w:eastAsia="zh-CN"/>
        </w:rPr>
        <w:t>等）科技贡献率超60%，创建省级示范基地2-3个。城乡融合发展机制</w:t>
      </w:r>
      <w:r>
        <w:rPr>
          <w:rFonts w:hint="default" w:cs="Times New Roman"/>
          <w:b w:val="0"/>
          <w:bCs w:val="0"/>
          <w:color w:val="auto"/>
          <w:highlight w:val="none"/>
          <w:lang w:val="en-US" w:eastAsia="zh-CN"/>
        </w:rPr>
        <w:t>更加完善</w:t>
      </w:r>
      <w:r>
        <w:rPr>
          <w:rFonts w:hint="default" w:ascii="Times New Roman" w:hAnsi="Times New Roman" w:eastAsia="仿宋_GB2312" w:cs="Times New Roman"/>
          <w:b w:val="0"/>
          <w:bCs w:val="0"/>
          <w:color w:val="auto"/>
          <w:highlight w:val="none"/>
          <w:lang w:val="en-US" w:eastAsia="zh-CN"/>
        </w:rPr>
        <w:t>，力争到2030年常住人口城镇化率提高到X%左右，城乡居民收入差距不断缩小。</w:t>
      </w:r>
    </w:p>
    <w:p>
      <w:pPr>
        <w:bidi w:val="0"/>
        <w:outlineLvl w:val="2"/>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楷体_GB2312" w:cs="Times New Roman"/>
          <w:b/>
          <w:bCs/>
          <w:color w:val="auto"/>
          <w:highlight w:val="none"/>
          <w:lang w:val="en-US" w:eastAsia="zh-CN"/>
        </w:rPr>
        <w:t>生态改善大提升，力求更大格局、更厚绿色。</w:t>
      </w:r>
      <w:r>
        <w:rPr>
          <w:rFonts w:hint="default" w:ascii="Times New Roman" w:hAnsi="Times New Roman" w:eastAsia="仿宋_GB2312" w:cs="Times New Roman"/>
          <w:b w:val="0"/>
          <w:bCs w:val="0"/>
          <w:color w:val="auto"/>
          <w:highlight w:val="none"/>
          <w:lang w:val="en-US" w:eastAsia="zh-CN"/>
        </w:rPr>
        <w:t>生态环境明显改善，水质、空气各项指标优于全省平均水平，单位工业增加值能源消耗、二氧化碳排放和主要污染物排放持续下降，完成上级下达的各项约束性指标任务。推进清洁生产和资源循环利用，新能源消费占比大幅提高，绿色技术在重点领域得到广泛应用，规模以上工业单位增加值能耗和碳排放持续下降，打造一批绿色工厂、绿色园区，绿色制造体系基本形成。绿色生产方式和生活方式基本形成，经济社会发展全面绿色转型取得显著成效，碳达峰目标如期实现。</w:t>
      </w:r>
    </w:p>
    <w:p>
      <w:pPr>
        <w:bidi w:val="0"/>
        <w:outlineLvl w:val="2"/>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楷体_GB2312" w:cs="Times New Roman"/>
          <w:b/>
          <w:bCs/>
          <w:color w:val="auto"/>
          <w:highlight w:val="none"/>
          <w:lang w:val="en-US" w:eastAsia="zh-CN"/>
        </w:rPr>
        <w:t>民生建设大提升，力求更高保障、更实福祉。</w:t>
      </w:r>
      <w:r>
        <w:rPr>
          <w:rFonts w:hint="default" w:ascii="Times New Roman" w:hAnsi="Times New Roman" w:eastAsia="仿宋_GB2312" w:cs="Times New Roman"/>
          <w:b w:val="0"/>
          <w:bCs w:val="0"/>
          <w:color w:val="auto"/>
          <w:highlight w:val="none"/>
          <w:lang w:val="en-US" w:eastAsia="zh-CN"/>
        </w:rPr>
        <w:t>城乡居民收入增速与经济增长保持同步，教育文化、医疗卫生、社会保障等社会事业加快发展，城乡基本公共服务和社会保障水平全面提升，基本公共服务均等化水平进一步提高，人民生活品质持续提高，人民群众幸福感、获得感、安全感显著提升。力争到2030年城镇、乡村居民人均可支配收入分别达到X、X元。</w:t>
      </w:r>
    </w:p>
    <w:p>
      <w:pPr>
        <w:bidi w:val="0"/>
        <w:outlineLvl w:val="2"/>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楷体_GB2312" w:cs="Times New Roman"/>
          <w:b/>
          <w:bCs/>
          <w:color w:val="auto"/>
          <w:highlight w:val="none"/>
          <w:lang w:val="en-US" w:eastAsia="zh-CN"/>
        </w:rPr>
        <w:t>社会治理大提升，力求更安秩序、更稳局面。</w:t>
      </w:r>
      <w:r>
        <w:rPr>
          <w:rFonts w:hint="default" w:ascii="Times New Roman" w:hAnsi="Times New Roman" w:eastAsia="仿宋_GB2312" w:cs="Times New Roman"/>
          <w:b w:val="0"/>
          <w:bCs w:val="0"/>
          <w:color w:val="auto"/>
          <w:highlight w:val="none"/>
          <w:lang w:val="en-US" w:eastAsia="zh-CN"/>
        </w:rPr>
        <w:t>法治潘集、法治政府、法治社会一体建设取得积极进展，“六尺巷工作法”进一步推</w:t>
      </w:r>
      <w:r>
        <w:rPr>
          <w:rFonts w:hint="default" w:cs="Times New Roman"/>
          <w:b w:val="0"/>
          <w:bCs w:val="0"/>
          <w:color w:val="auto"/>
          <w:highlight w:val="none"/>
          <w:lang w:val="en-US" w:eastAsia="zh-CN"/>
        </w:rPr>
        <w:t>广</w:t>
      </w:r>
      <w:r>
        <w:rPr>
          <w:rFonts w:hint="default" w:ascii="Times New Roman" w:hAnsi="Times New Roman" w:eastAsia="仿宋_GB2312" w:cs="Times New Roman"/>
          <w:b w:val="0"/>
          <w:bCs w:val="0"/>
          <w:color w:val="auto"/>
          <w:highlight w:val="none"/>
          <w:lang w:val="en-US" w:eastAsia="zh-CN"/>
        </w:rPr>
        <w:t>，社会治理体系更加完善，共建共治共享的社会治理新格局</w:t>
      </w:r>
      <w:r>
        <w:rPr>
          <w:rFonts w:hint="default" w:cs="Times New Roman"/>
          <w:b w:val="0"/>
          <w:bCs w:val="0"/>
          <w:color w:val="auto"/>
          <w:highlight w:val="none"/>
          <w:lang w:val="en-US" w:eastAsia="zh-CN"/>
        </w:rPr>
        <w:t>基本</w:t>
      </w:r>
      <w:r>
        <w:rPr>
          <w:rFonts w:hint="default" w:ascii="Times New Roman" w:hAnsi="Times New Roman" w:eastAsia="仿宋_GB2312" w:cs="Times New Roman"/>
          <w:b w:val="0"/>
          <w:bCs w:val="0"/>
          <w:color w:val="auto"/>
          <w:highlight w:val="none"/>
          <w:lang w:val="en-US" w:eastAsia="zh-CN"/>
        </w:rPr>
        <w:t>形成。平安潘集建设取得更大成果，社会面防控持续加强，安全生产形势平稳有序，防范化解风险隐患体制机制更加健全，突发公共事件应急能力大幅增强，自然灾害防御水平明显提高。</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根据</w:t>
      </w:r>
      <w:r>
        <w:rPr>
          <w:rFonts w:hint="default" w:cs="Times New Roman"/>
          <w:lang w:val="en-US" w:eastAsia="zh-CN"/>
        </w:rPr>
        <w:t>潘集“一城三区”</w:t>
      </w:r>
      <w:r>
        <w:rPr>
          <w:rFonts w:hint="default" w:ascii="Times New Roman" w:hAnsi="Times New Roman" w:cs="Times New Roman"/>
          <w:lang w:val="en-US" w:eastAsia="zh-CN"/>
        </w:rPr>
        <w:t>战略定位和</w:t>
      </w:r>
      <w:r>
        <w:rPr>
          <w:rFonts w:hint="default" w:cs="Times New Roman"/>
          <w:lang w:val="en-US" w:eastAsia="zh-CN"/>
        </w:rPr>
        <w:t>八大</w:t>
      </w:r>
      <w:r>
        <w:rPr>
          <w:rFonts w:hint="default" w:ascii="Times New Roman" w:hAnsi="Times New Roman" w:cs="Times New Roman"/>
          <w:lang w:val="en-US" w:eastAsia="zh-CN"/>
        </w:rPr>
        <w:t>目标，在充分衔接高质量发展综合绩效评价指标体系、淮南市“十五五”基本思路、潘集区“十四五”规划的基础上，潘集区“十五五”规划在经济发展、创新驱动、民生福祉、绿色生态、安全保障五个方面设置22项具有代表性的主要指标。</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sz w:val="30"/>
          <w:szCs w:val="30"/>
          <w:lang w:val="en-US" w:eastAsia="zh-CN"/>
        </w:rPr>
      </w:pPr>
      <w:r>
        <w:rPr>
          <w:rFonts w:hint="default" w:ascii="Times New Roman" w:hAnsi="Times New Roman" w:eastAsia="黑体" w:cs="Times New Roman"/>
          <w:sz w:val="30"/>
          <w:szCs w:val="30"/>
          <w:lang w:val="en-US" w:eastAsia="zh-CN"/>
        </w:rPr>
        <w:t>表1 “十五五”时期经济社会发展主要指标体系</w:t>
      </w:r>
    </w:p>
    <w:tbl>
      <w:tblPr>
        <w:tblStyle w:val="17"/>
        <w:tblW w:w="52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3"/>
        <w:gridCol w:w="1841"/>
        <w:gridCol w:w="1848"/>
        <w:gridCol w:w="1038"/>
        <w:gridCol w:w="1134"/>
        <w:gridCol w:w="1049"/>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52" w:type="pct"/>
            <w:shd w:val="clear" w:color="auto" w:fill="AEAAA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黑体" w:cs="Times New Roman"/>
                <w:b/>
                <w:bCs/>
                <w:color w:val="auto"/>
                <w:spacing w:val="3"/>
                <w:kern w:val="0"/>
                <w:sz w:val="21"/>
                <w:szCs w:val="21"/>
                <w:highlight w:val="none"/>
                <w:lang w:val="en-US" w:eastAsia="zh-CN" w:bidi="ar-SA"/>
              </w:rPr>
            </w:pPr>
            <w:r>
              <w:rPr>
                <w:rFonts w:hint="default" w:ascii="Times New Roman" w:hAnsi="Times New Roman" w:eastAsia="黑体" w:cs="Times New Roman"/>
                <w:b/>
                <w:bCs/>
                <w:color w:val="auto"/>
                <w:spacing w:val="3"/>
                <w:kern w:val="0"/>
                <w:sz w:val="21"/>
                <w:szCs w:val="21"/>
                <w:highlight w:val="none"/>
                <w:lang w:val="en-US" w:eastAsia="zh-CN" w:bidi="ar-SA"/>
              </w:rPr>
              <w:t>序号</w:t>
            </w:r>
          </w:p>
        </w:tc>
        <w:tc>
          <w:tcPr>
            <w:tcW w:w="2114" w:type="pct"/>
            <w:gridSpan w:val="2"/>
            <w:shd w:val="clear" w:color="auto" w:fill="AEAAA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黑体" w:cs="Times New Roman"/>
                <w:b/>
                <w:bCs/>
                <w:color w:val="auto"/>
                <w:spacing w:val="3"/>
                <w:kern w:val="0"/>
                <w:sz w:val="21"/>
                <w:szCs w:val="21"/>
                <w:highlight w:val="none"/>
                <w:lang w:val="en-US" w:eastAsia="en-US" w:bidi="ar-SA"/>
              </w:rPr>
            </w:pPr>
            <w:r>
              <w:rPr>
                <w:rFonts w:hint="default" w:ascii="Times New Roman" w:hAnsi="Times New Roman" w:eastAsia="黑体" w:cs="Times New Roman"/>
                <w:b/>
                <w:bCs/>
                <w:color w:val="auto"/>
                <w:spacing w:val="3"/>
                <w:kern w:val="0"/>
                <w:sz w:val="21"/>
                <w:szCs w:val="21"/>
                <w:highlight w:val="none"/>
                <w:lang w:val="en-US" w:eastAsia="en-US" w:bidi="ar-SA"/>
              </w:rPr>
              <w:t>指   标</w:t>
            </w:r>
          </w:p>
        </w:tc>
        <w:tc>
          <w:tcPr>
            <w:tcW w:w="595" w:type="pct"/>
            <w:shd w:val="clear" w:color="auto" w:fill="AEAAA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黑体" w:cs="Times New Roman"/>
                <w:b/>
                <w:bCs/>
                <w:color w:val="auto"/>
                <w:spacing w:val="3"/>
                <w:kern w:val="0"/>
                <w:sz w:val="21"/>
                <w:szCs w:val="21"/>
                <w:highlight w:val="none"/>
                <w:lang w:val="en-US" w:eastAsia="zh-CN" w:bidi="ar-SA"/>
              </w:rPr>
            </w:pPr>
            <w:r>
              <w:rPr>
                <w:rFonts w:hint="default" w:ascii="Times New Roman" w:hAnsi="Times New Roman" w:eastAsia="黑体" w:cs="Times New Roman"/>
                <w:b/>
                <w:bCs/>
                <w:color w:val="auto"/>
                <w:spacing w:val="3"/>
                <w:kern w:val="0"/>
                <w:sz w:val="21"/>
                <w:szCs w:val="21"/>
                <w:highlight w:val="none"/>
                <w:lang w:val="en-US" w:eastAsia="zh-CN" w:bidi="ar-SA"/>
              </w:rPr>
              <w:t>2025年</w:t>
            </w:r>
          </w:p>
        </w:tc>
        <w:tc>
          <w:tcPr>
            <w:tcW w:w="650" w:type="pct"/>
            <w:shd w:val="clear" w:color="auto" w:fill="AEAAA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黑体" w:cs="Times New Roman"/>
                <w:b/>
                <w:bCs/>
                <w:color w:val="auto"/>
                <w:spacing w:val="3"/>
                <w:kern w:val="0"/>
                <w:sz w:val="21"/>
                <w:szCs w:val="21"/>
                <w:highlight w:val="none"/>
                <w:lang w:val="en-US" w:eastAsia="zh-CN" w:bidi="ar-SA"/>
              </w:rPr>
            </w:pPr>
            <w:r>
              <w:rPr>
                <w:rFonts w:hint="default" w:ascii="Times New Roman" w:hAnsi="Times New Roman" w:eastAsia="黑体" w:cs="Times New Roman"/>
                <w:b/>
                <w:bCs/>
                <w:color w:val="auto"/>
                <w:spacing w:val="3"/>
                <w:kern w:val="0"/>
                <w:sz w:val="21"/>
                <w:szCs w:val="21"/>
                <w:highlight w:val="none"/>
                <w:lang w:val="en-US" w:eastAsia="zh-CN" w:bidi="ar-SA"/>
              </w:rPr>
              <w:t>2030年</w:t>
            </w:r>
          </w:p>
        </w:tc>
        <w:tc>
          <w:tcPr>
            <w:tcW w:w="601" w:type="pct"/>
            <w:shd w:val="clear" w:color="auto" w:fill="AEAAA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黑体" w:cs="Times New Roman"/>
                <w:b/>
                <w:bCs/>
                <w:color w:val="auto"/>
                <w:spacing w:val="3"/>
                <w:kern w:val="0"/>
                <w:sz w:val="21"/>
                <w:szCs w:val="21"/>
                <w:highlight w:val="none"/>
                <w:lang w:val="en-US" w:eastAsia="zh-CN" w:bidi="ar-SA"/>
              </w:rPr>
            </w:pPr>
            <w:r>
              <w:rPr>
                <w:rFonts w:hint="default" w:ascii="Times New Roman" w:hAnsi="Times New Roman" w:eastAsia="黑体" w:cs="Times New Roman"/>
                <w:b/>
                <w:bCs/>
                <w:color w:val="auto"/>
                <w:spacing w:val="3"/>
                <w:kern w:val="0"/>
                <w:sz w:val="21"/>
                <w:szCs w:val="21"/>
                <w:highlight w:val="none"/>
                <w:lang w:val="en-US" w:eastAsia="zh-CN" w:bidi="ar-SA"/>
              </w:rPr>
              <w:t>年均增速</w:t>
            </w:r>
          </w:p>
        </w:tc>
        <w:tc>
          <w:tcPr>
            <w:tcW w:w="685" w:type="pct"/>
            <w:shd w:val="clear" w:color="auto" w:fill="AEAAA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黑体" w:cs="Times New Roman"/>
                <w:b/>
                <w:bCs/>
                <w:color w:val="auto"/>
                <w:spacing w:val="3"/>
                <w:kern w:val="0"/>
                <w:sz w:val="21"/>
                <w:szCs w:val="21"/>
                <w:highlight w:val="none"/>
                <w:lang w:val="en-US" w:eastAsia="en-US" w:bidi="ar-SA"/>
              </w:rPr>
            </w:pPr>
            <w:r>
              <w:rPr>
                <w:rFonts w:hint="default" w:ascii="Times New Roman" w:hAnsi="Times New Roman" w:eastAsia="黑体" w:cs="Times New Roman"/>
                <w:b/>
                <w:bCs/>
                <w:color w:val="auto"/>
                <w:spacing w:val="3"/>
                <w:kern w:val="0"/>
                <w:sz w:val="21"/>
                <w:szCs w:val="21"/>
                <w:highlight w:val="none"/>
                <w:lang w:val="en-US" w:eastAsia="en-US" w:bidi="ar-SA"/>
              </w:rPr>
              <w:t>属  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黑体" w:cs="Times New Roman"/>
                <w:b w:val="0"/>
                <w:bCs w:val="0"/>
                <w:color w:val="auto"/>
                <w:spacing w:val="1"/>
                <w:kern w:val="0"/>
                <w:sz w:val="21"/>
                <w:szCs w:val="21"/>
                <w:highlight w:val="none"/>
                <w:lang w:val="en-US" w:eastAsia="zh-CN" w:bidi="ar-SA"/>
              </w:rPr>
              <w:t>经济发展（5项）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spacing w:val="1"/>
                <w:kern w:val="0"/>
                <w:sz w:val="21"/>
                <w:szCs w:val="21"/>
                <w:highlight w:val="none"/>
                <w:lang w:val="en-US" w:eastAsia="zh-CN" w:bidi="ar-SA"/>
              </w:rPr>
            </w:pPr>
            <w:r>
              <w:rPr>
                <w:rFonts w:hint="default" w:cs="Times New Roman"/>
                <w:color w:val="auto"/>
                <w:spacing w:val="1"/>
                <w:kern w:val="0"/>
                <w:sz w:val="21"/>
                <w:szCs w:val="21"/>
                <w:highlight w:val="none"/>
                <w:lang w:val="en-US" w:eastAsia="zh-CN" w:bidi="ar-SA"/>
              </w:rPr>
              <w:t>1</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spacing w:val="1"/>
                <w:kern w:val="0"/>
                <w:sz w:val="21"/>
                <w:szCs w:val="21"/>
                <w:highlight w:val="none"/>
                <w:lang w:val="en-US" w:eastAsia="en-US" w:bidi="ar-SA"/>
              </w:rPr>
              <w:t>地区生产总值增速</w:t>
            </w:r>
            <w:r>
              <w:rPr>
                <w:rFonts w:hint="default" w:cs="Times New Roman"/>
                <w:color w:val="auto"/>
                <w:spacing w:val="1"/>
                <w:kern w:val="0"/>
                <w:sz w:val="21"/>
                <w:szCs w:val="21"/>
                <w:highlight w:val="none"/>
                <w:lang w:val="en-US" w:eastAsia="zh-CN" w:bidi="ar-SA"/>
              </w:rPr>
              <w:t>（</w:t>
            </w:r>
            <w:r>
              <w:rPr>
                <w:rFonts w:hint="default" w:ascii="Times New Roman" w:hAnsi="Times New Roman" w:eastAsia="仿宋_GB2312" w:cs="Times New Roman"/>
                <w:color w:val="auto"/>
                <w:spacing w:val="1"/>
                <w:kern w:val="0"/>
                <w:sz w:val="21"/>
                <w:szCs w:val="21"/>
                <w:highlight w:val="none"/>
                <w:lang w:val="en-US" w:eastAsia="en-US" w:bidi="ar-SA"/>
              </w:rPr>
              <w:t>%</w:t>
            </w:r>
            <w:r>
              <w:rPr>
                <w:rFonts w:hint="default" w:cs="Times New Roman"/>
                <w:color w:val="auto"/>
                <w:spacing w:val="1"/>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spacing w:val="1"/>
                <w:kern w:val="0"/>
                <w:sz w:val="21"/>
                <w:szCs w:val="21"/>
                <w:highlight w:val="none"/>
                <w:lang w:val="en-US" w:eastAsia="zh-CN" w:bidi="ar-SA"/>
              </w:rPr>
            </w:pPr>
            <w:r>
              <w:rPr>
                <w:rFonts w:hint="default" w:cs="Times New Roman"/>
                <w:color w:val="auto"/>
                <w:spacing w:val="1"/>
                <w:kern w:val="0"/>
                <w:sz w:val="21"/>
                <w:szCs w:val="21"/>
                <w:highlight w:val="none"/>
                <w:lang w:val="en-US" w:eastAsia="zh-CN" w:bidi="ar-SA"/>
              </w:rPr>
              <w:t>2</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spacing w:val="1"/>
                <w:kern w:val="0"/>
                <w:sz w:val="21"/>
                <w:szCs w:val="21"/>
                <w:highlight w:val="none"/>
                <w:lang w:val="en-US" w:eastAsia="zh-CN" w:bidi="ar-SA"/>
              </w:rPr>
            </w:pPr>
            <w:r>
              <w:rPr>
                <w:rFonts w:hint="default" w:ascii="Times New Roman" w:hAnsi="Times New Roman" w:eastAsia="仿宋_GB2312" w:cs="Times New Roman"/>
                <w:color w:val="auto"/>
                <w:spacing w:val="1"/>
                <w:kern w:val="0"/>
                <w:sz w:val="21"/>
                <w:szCs w:val="21"/>
                <w:highlight w:val="none"/>
                <w:lang w:val="en-US" w:eastAsia="zh-CN" w:bidi="ar-SA"/>
              </w:rPr>
              <w:t>社会消费品零售总额（亿元）</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zh-CN" w:bidi="ar-SA"/>
              </w:rPr>
            </w:pPr>
            <w:r>
              <w:rPr>
                <w:rFonts w:hint="eastAsia" w:cs="Times New Roman"/>
                <w:color w:val="auto"/>
                <w:spacing w:val="6"/>
                <w:kern w:val="0"/>
                <w:sz w:val="21"/>
                <w:szCs w:val="21"/>
                <w:highlight w:val="none"/>
                <w:lang w:val="en-US" w:eastAsia="zh-CN" w:bidi="ar-SA"/>
              </w:rPr>
              <w:t>54.14</w:t>
            </w: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spacing w:val="1"/>
                <w:kern w:val="0"/>
                <w:sz w:val="21"/>
                <w:szCs w:val="21"/>
                <w:highlight w:val="none"/>
                <w:lang w:val="en-US" w:eastAsia="zh-CN" w:bidi="ar-SA"/>
              </w:rPr>
            </w:pPr>
            <w:r>
              <w:rPr>
                <w:rFonts w:hint="default" w:cs="Times New Roman"/>
                <w:color w:val="auto"/>
                <w:spacing w:val="1"/>
                <w:kern w:val="0"/>
                <w:sz w:val="21"/>
                <w:szCs w:val="21"/>
                <w:highlight w:val="none"/>
                <w:lang w:val="en-US" w:eastAsia="zh-CN" w:bidi="ar-SA"/>
              </w:rPr>
              <w:t>3</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spacing w:val="1"/>
                <w:kern w:val="0"/>
                <w:sz w:val="21"/>
                <w:szCs w:val="21"/>
                <w:highlight w:val="none"/>
                <w:lang w:val="en-US" w:eastAsia="zh-CN" w:bidi="ar-SA"/>
              </w:rPr>
            </w:pPr>
            <w:r>
              <w:rPr>
                <w:rFonts w:hint="default" w:ascii="Times New Roman" w:hAnsi="Times New Roman" w:eastAsia="仿宋_GB2312" w:cs="Times New Roman"/>
                <w:color w:val="auto"/>
                <w:spacing w:val="1"/>
                <w:kern w:val="0"/>
                <w:sz w:val="21"/>
                <w:szCs w:val="21"/>
                <w:highlight w:val="none"/>
                <w:lang w:val="en-US" w:eastAsia="zh-CN" w:bidi="ar-SA"/>
              </w:rPr>
              <w:t>区属固定资产投资增长（%）</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spacing w:val="5"/>
                <w:kern w:val="0"/>
                <w:sz w:val="21"/>
                <w:szCs w:val="21"/>
                <w:highlight w:val="none"/>
                <w:lang w:val="en-US" w:eastAsia="zh-CN" w:bidi="ar-SA"/>
              </w:rPr>
            </w:pPr>
            <w:r>
              <w:rPr>
                <w:rFonts w:hint="default" w:cs="Times New Roman"/>
                <w:color w:val="auto"/>
                <w:spacing w:val="5"/>
                <w:kern w:val="0"/>
                <w:sz w:val="21"/>
                <w:szCs w:val="21"/>
                <w:highlight w:val="none"/>
                <w:lang w:val="en-US" w:eastAsia="zh-CN" w:bidi="ar-SA"/>
              </w:rPr>
              <w:t>4</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spacing w:val="5"/>
                <w:kern w:val="0"/>
                <w:sz w:val="21"/>
                <w:szCs w:val="21"/>
                <w:highlight w:val="none"/>
                <w:lang w:val="en-US" w:eastAsia="en-US" w:bidi="ar-SA"/>
              </w:rPr>
              <w:t>进出口总额</w:t>
            </w:r>
            <w:r>
              <w:rPr>
                <w:rFonts w:hint="default" w:cs="Times New Roman"/>
                <w:color w:val="auto"/>
                <w:spacing w:val="5"/>
                <w:kern w:val="0"/>
                <w:sz w:val="21"/>
                <w:szCs w:val="21"/>
                <w:highlight w:val="none"/>
                <w:lang w:val="en-US" w:eastAsia="zh-CN" w:bidi="ar-SA"/>
              </w:rPr>
              <w:t>（</w:t>
            </w:r>
            <w:r>
              <w:rPr>
                <w:rFonts w:hint="default" w:ascii="Times New Roman" w:hAnsi="Times New Roman" w:eastAsia="仿宋_GB2312" w:cs="Times New Roman"/>
                <w:color w:val="auto"/>
                <w:spacing w:val="5"/>
                <w:kern w:val="0"/>
                <w:sz w:val="21"/>
                <w:szCs w:val="21"/>
                <w:highlight w:val="none"/>
                <w:lang w:val="en-US" w:eastAsia="en-US" w:bidi="ar-SA"/>
              </w:rPr>
              <w:t>亿元</w:t>
            </w:r>
            <w:r>
              <w:rPr>
                <w:rFonts w:hint="default" w:cs="Times New Roman"/>
                <w:color w:val="auto"/>
                <w:spacing w:val="5"/>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zh-CN" w:bidi="ar-SA"/>
              </w:rPr>
            </w:pPr>
            <w:r>
              <w:rPr>
                <w:rFonts w:hint="eastAsia" w:cs="Times New Roman"/>
                <w:color w:val="auto"/>
                <w:spacing w:val="6"/>
                <w:kern w:val="0"/>
                <w:sz w:val="21"/>
                <w:szCs w:val="21"/>
                <w:highlight w:val="none"/>
                <w:lang w:val="en-US" w:eastAsia="zh-CN" w:bidi="ar-SA"/>
              </w:rPr>
              <w:t>3000</w:t>
            </w: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spacing w:val="4"/>
                <w:kern w:val="0"/>
                <w:sz w:val="21"/>
                <w:szCs w:val="21"/>
                <w:highlight w:val="none"/>
                <w:lang w:val="en-US" w:eastAsia="zh-CN" w:bidi="ar-SA"/>
              </w:rPr>
            </w:pPr>
            <w:r>
              <w:rPr>
                <w:rFonts w:hint="default" w:cs="Times New Roman"/>
                <w:color w:val="auto"/>
                <w:spacing w:val="4"/>
                <w:kern w:val="0"/>
                <w:sz w:val="21"/>
                <w:szCs w:val="21"/>
                <w:highlight w:val="none"/>
                <w:lang w:val="en-US" w:eastAsia="zh-CN" w:bidi="ar-SA"/>
              </w:rPr>
              <w:t>5</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spacing w:val="5"/>
                <w:kern w:val="0"/>
                <w:sz w:val="21"/>
                <w:szCs w:val="21"/>
                <w:highlight w:val="none"/>
                <w:lang w:val="en-US" w:eastAsia="zh-CN" w:bidi="ar-SA"/>
              </w:rPr>
            </w:pPr>
            <w:r>
              <w:rPr>
                <w:rFonts w:hint="default" w:ascii="Times New Roman" w:hAnsi="Times New Roman" w:eastAsia="仿宋_GB2312" w:cs="Times New Roman"/>
                <w:color w:val="auto"/>
                <w:spacing w:val="4"/>
                <w:kern w:val="0"/>
                <w:sz w:val="21"/>
                <w:szCs w:val="21"/>
                <w:highlight w:val="none"/>
                <w:lang w:val="en-US" w:eastAsia="en-US" w:bidi="ar-SA"/>
              </w:rPr>
              <w:t>常住人口城镇化率</w:t>
            </w:r>
            <w:r>
              <w:rPr>
                <w:rFonts w:hint="default" w:cs="Times New Roman"/>
                <w:color w:val="auto"/>
                <w:spacing w:val="4"/>
                <w:kern w:val="0"/>
                <w:sz w:val="21"/>
                <w:szCs w:val="21"/>
                <w:highlight w:val="none"/>
                <w:lang w:val="en-US" w:eastAsia="zh-CN" w:bidi="ar-SA"/>
              </w:rPr>
              <w:t>（</w:t>
            </w:r>
            <w:r>
              <w:rPr>
                <w:rFonts w:hint="default" w:ascii="Times New Roman" w:hAnsi="Times New Roman" w:eastAsia="仿宋_GB2312" w:cs="Times New Roman"/>
                <w:color w:val="auto"/>
                <w:spacing w:val="4"/>
                <w:kern w:val="0"/>
                <w:sz w:val="21"/>
                <w:szCs w:val="21"/>
                <w:highlight w:val="none"/>
                <w:lang w:val="en-US" w:eastAsia="en-US" w:bidi="ar-SA"/>
              </w:rPr>
              <w:t>%</w:t>
            </w:r>
            <w:r>
              <w:rPr>
                <w:rFonts w:hint="default" w:cs="Times New Roman"/>
                <w:color w:val="auto"/>
                <w:spacing w:val="4"/>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黑体" w:cs="Times New Roman"/>
                <w:b w:val="0"/>
                <w:bCs w:val="0"/>
                <w:color w:val="auto"/>
                <w:spacing w:val="1"/>
                <w:kern w:val="0"/>
                <w:sz w:val="21"/>
                <w:szCs w:val="21"/>
                <w:highlight w:val="none"/>
                <w:lang w:val="en-US" w:eastAsia="zh-CN" w:bidi="ar-SA"/>
              </w:rPr>
              <w:t>创新驱动（4项）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spacing w:val="1"/>
                <w:kern w:val="0"/>
                <w:sz w:val="21"/>
                <w:szCs w:val="21"/>
                <w:highlight w:val="none"/>
                <w:lang w:val="en-US" w:eastAsia="zh-CN" w:bidi="ar"/>
              </w:rPr>
            </w:pPr>
            <w:r>
              <w:rPr>
                <w:rFonts w:hint="default" w:cs="Times New Roman"/>
                <w:color w:val="auto"/>
                <w:spacing w:val="1"/>
                <w:kern w:val="0"/>
                <w:sz w:val="21"/>
                <w:szCs w:val="21"/>
                <w:highlight w:val="none"/>
                <w:lang w:val="en-US" w:eastAsia="zh-CN" w:bidi="ar"/>
              </w:rPr>
              <w:t>6</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spacing w:val="1"/>
                <w:kern w:val="0"/>
                <w:sz w:val="21"/>
                <w:szCs w:val="21"/>
                <w:highlight w:val="none"/>
                <w:lang w:val="en-US" w:eastAsia="zh-CN" w:bidi="ar-SA"/>
              </w:rPr>
            </w:pPr>
            <w:r>
              <w:rPr>
                <w:rFonts w:hint="default" w:ascii="Times New Roman" w:hAnsi="Times New Roman" w:eastAsia="仿宋_GB2312" w:cs="Times New Roman"/>
                <w:color w:val="auto"/>
                <w:spacing w:val="1"/>
                <w:kern w:val="0"/>
                <w:sz w:val="21"/>
                <w:szCs w:val="21"/>
                <w:highlight w:val="none"/>
                <w:lang w:val="en-US" w:eastAsia="zh-CN" w:bidi="ar"/>
              </w:rPr>
              <w:t>制造业增加值占地区生产总值比重（%）</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spacing w:val="1"/>
                <w:kern w:val="0"/>
                <w:sz w:val="21"/>
                <w:szCs w:val="21"/>
                <w:highlight w:val="none"/>
                <w:lang w:val="en-US" w:eastAsia="zh-CN" w:bidi="ar-SA"/>
              </w:rPr>
            </w:pPr>
            <w:r>
              <w:rPr>
                <w:rFonts w:hint="default" w:cs="Times New Roman"/>
                <w:color w:val="auto"/>
                <w:spacing w:val="1"/>
                <w:kern w:val="0"/>
                <w:sz w:val="21"/>
                <w:szCs w:val="21"/>
                <w:highlight w:val="none"/>
                <w:lang w:val="en-US" w:eastAsia="zh-CN" w:bidi="ar-SA"/>
              </w:rPr>
              <w:t>7</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spacing w:val="1"/>
                <w:kern w:val="0"/>
                <w:sz w:val="21"/>
                <w:szCs w:val="21"/>
                <w:highlight w:val="none"/>
                <w:lang w:val="en-US" w:eastAsia="zh-CN" w:bidi="ar-SA"/>
              </w:rPr>
            </w:pPr>
            <w:r>
              <w:rPr>
                <w:rFonts w:hint="default" w:ascii="Times New Roman" w:hAnsi="Times New Roman" w:eastAsia="仿宋_GB2312" w:cs="Times New Roman"/>
                <w:color w:val="auto"/>
                <w:spacing w:val="1"/>
                <w:kern w:val="0"/>
                <w:sz w:val="21"/>
                <w:szCs w:val="21"/>
                <w:highlight w:val="none"/>
                <w:lang w:val="en-US" w:eastAsia="zh-CN" w:bidi="ar-SA"/>
              </w:rPr>
              <w:t>研发经费投入强度</w:t>
            </w:r>
            <w:r>
              <w:rPr>
                <w:rFonts w:hint="default" w:cs="Times New Roman"/>
                <w:color w:val="auto"/>
                <w:spacing w:val="1"/>
                <w:kern w:val="0"/>
                <w:sz w:val="21"/>
                <w:szCs w:val="21"/>
                <w:highlight w:val="none"/>
                <w:lang w:val="en-US" w:eastAsia="zh-CN" w:bidi="ar-SA"/>
              </w:rPr>
              <w:t>（</w:t>
            </w:r>
            <w:r>
              <w:rPr>
                <w:rFonts w:hint="default" w:ascii="Times New Roman" w:hAnsi="Times New Roman" w:eastAsia="仿宋_GB2312" w:cs="Times New Roman"/>
                <w:color w:val="auto"/>
                <w:spacing w:val="1"/>
                <w:kern w:val="0"/>
                <w:sz w:val="21"/>
                <w:szCs w:val="21"/>
                <w:highlight w:val="none"/>
                <w:lang w:val="en-US" w:eastAsia="zh-CN" w:bidi="ar-SA"/>
              </w:rPr>
              <w:t>%</w:t>
            </w:r>
            <w:r>
              <w:rPr>
                <w:rFonts w:hint="default" w:cs="Times New Roman"/>
                <w:color w:val="auto"/>
                <w:spacing w:val="1"/>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zh-CN" w:bidi="ar-SA"/>
              </w:rPr>
            </w:pPr>
            <w:r>
              <w:rPr>
                <w:rFonts w:hint="eastAsia" w:cs="Times New Roman"/>
                <w:color w:val="auto"/>
                <w:spacing w:val="6"/>
                <w:kern w:val="0"/>
                <w:sz w:val="21"/>
                <w:szCs w:val="21"/>
                <w:highlight w:val="none"/>
                <w:lang w:val="en-US" w:eastAsia="zh-CN" w:bidi="ar-SA"/>
              </w:rPr>
              <w:t>1.24</w:t>
            </w: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bidi="ar-SA"/>
              </w:rPr>
              <w:t>8</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val="en-US" w:eastAsia="zh-CN" w:bidi="ar-SA"/>
              </w:rPr>
              <w:t>每万人口</w:t>
            </w:r>
            <w:r>
              <w:rPr>
                <w:rFonts w:hint="eastAsia" w:cs="Times New Roman"/>
                <w:color w:val="auto"/>
                <w:kern w:val="0"/>
                <w:sz w:val="21"/>
                <w:szCs w:val="21"/>
                <w:highlight w:val="none"/>
                <w:lang w:val="en-US" w:eastAsia="zh-CN" w:bidi="ar-SA"/>
              </w:rPr>
              <w:t>拥有</w:t>
            </w:r>
            <w:r>
              <w:rPr>
                <w:rFonts w:hint="default" w:ascii="Times New Roman" w:hAnsi="Times New Roman" w:eastAsia="仿宋_GB2312" w:cs="Times New Roman"/>
                <w:color w:val="auto"/>
                <w:kern w:val="0"/>
                <w:sz w:val="21"/>
                <w:szCs w:val="21"/>
                <w:highlight w:val="none"/>
                <w:lang w:val="en-US" w:eastAsia="zh-CN" w:bidi="ar-SA"/>
              </w:rPr>
              <w:t>发明专利拥有量</w:t>
            </w:r>
            <w:r>
              <w:rPr>
                <w:rFonts w:hint="default" w:cs="Times New Roman"/>
                <w:color w:val="auto"/>
                <w:kern w:val="0"/>
                <w:sz w:val="21"/>
                <w:szCs w:val="21"/>
                <w:highlight w:val="none"/>
                <w:lang w:val="en-US" w:eastAsia="zh-CN" w:bidi="ar-SA"/>
              </w:rPr>
              <w:t>（</w:t>
            </w:r>
            <w:r>
              <w:rPr>
                <w:rFonts w:hint="default" w:ascii="Times New Roman" w:hAnsi="Times New Roman" w:eastAsia="仿宋_GB2312" w:cs="Times New Roman"/>
                <w:color w:val="auto"/>
                <w:kern w:val="0"/>
                <w:sz w:val="21"/>
                <w:szCs w:val="21"/>
                <w:highlight w:val="none"/>
                <w:lang w:val="en-US" w:eastAsia="zh-CN" w:bidi="ar-SA"/>
              </w:rPr>
              <w:t>件</w:t>
            </w:r>
            <w:r>
              <w:rPr>
                <w:rFonts w:hint="default" w:cs="Times New Roman"/>
                <w:color w:val="auto"/>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zh-CN" w:bidi="ar-SA"/>
              </w:rPr>
            </w:pPr>
            <w:r>
              <w:rPr>
                <w:rFonts w:hint="eastAsia" w:cs="Times New Roman"/>
                <w:color w:val="auto"/>
                <w:spacing w:val="6"/>
                <w:kern w:val="0"/>
                <w:sz w:val="21"/>
                <w:szCs w:val="21"/>
                <w:highlight w:val="none"/>
                <w:lang w:val="en-US" w:eastAsia="zh-CN" w:bidi="ar-SA"/>
              </w:rPr>
              <w:t>4.6</w:t>
            </w: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spacing w:val="4"/>
                <w:kern w:val="0"/>
                <w:sz w:val="21"/>
                <w:szCs w:val="21"/>
                <w:highlight w:val="none"/>
                <w:lang w:val="en-US" w:eastAsia="zh-CN" w:bidi="ar-SA"/>
              </w:rPr>
            </w:pPr>
            <w:r>
              <w:rPr>
                <w:rFonts w:hint="default" w:cs="Times New Roman"/>
                <w:color w:val="auto"/>
                <w:spacing w:val="4"/>
                <w:kern w:val="0"/>
                <w:sz w:val="21"/>
                <w:szCs w:val="21"/>
                <w:highlight w:val="none"/>
                <w:lang w:val="en-US" w:eastAsia="zh-CN" w:bidi="ar-SA"/>
              </w:rPr>
              <w:t>9</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spacing w:val="4"/>
                <w:kern w:val="0"/>
                <w:sz w:val="21"/>
                <w:szCs w:val="21"/>
                <w:highlight w:val="none"/>
                <w:lang w:val="en-US" w:eastAsia="zh-CN" w:bidi="ar-SA"/>
              </w:rPr>
              <w:t>科技型中小企业数</w:t>
            </w:r>
            <w:r>
              <w:rPr>
                <w:rFonts w:hint="default" w:cs="Times New Roman"/>
                <w:color w:val="auto"/>
                <w:spacing w:val="4"/>
                <w:kern w:val="0"/>
                <w:sz w:val="21"/>
                <w:szCs w:val="21"/>
                <w:highlight w:val="none"/>
                <w:lang w:val="en-US" w:eastAsia="zh-CN" w:bidi="ar-SA"/>
              </w:rPr>
              <w:t>（</w:t>
            </w:r>
            <w:r>
              <w:rPr>
                <w:rFonts w:hint="default" w:ascii="Times New Roman" w:hAnsi="Times New Roman" w:eastAsia="仿宋_GB2312" w:cs="Times New Roman"/>
                <w:color w:val="auto"/>
                <w:spacing w:val="4"/>
                <w:kern w:val="0"/>
                <w:sz w:val="21"/>
                <w:szCs w:val="21"/>
                <w:highlight w:val="none"/>
                <w:lang w:val="en-US" w:eastAsia="zh-CN" w:bidi="ar-SA"/>
              </w:rPr>
              <w:t>个</w:t>
            </w:r>
            <w:r>
              <w:rPr>
                <w:rFonts w:hint="default" w:cs="Times New Roman"/>
                <w:color w:val="auto"/>
                <w:spacing w:val="4"/>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黑体" w:cs="Times New Roman"/>
                <w:b w:val="0"/>
                <w:bCs w:val="0"/>
                <w:color w:val="auto"/>
                <w:spacing w:val="1"/>
                <w:kern w:val="0"/>
                <w:sz w:val="21"/>
                <w:szCs w:val="21"/>
                <w:highlight w:val="none"/>
                <w:lang w:val="en-US" w:eastAsia="zh-CN" w:bidi="ar-SA"/>
              </w:rPr>
              <w:t>民生福祉（6项）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352"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bidi="ar-SA"/>
              </w:rPr>
              <w:t>10</w:t>
            </w:r>
          </w:p>
        </w:tc>
        <w:tc>
          <w:tcPr>
            <w:tcW w:w="1055"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val="en-US" w:eastAsia="zh-CN" w:bidi="ar-SA"/>
              </w:rPr>
              <w:t>居民人均可支配收入</w:t>
            </w:r>
            <w:r>
              <w:rPr>
                <w:rFonts w:hint="eastAsia" w:cs="Times New Roman"/>
                <w:color w:val="auto"/>
                <w:kern w:val="0"/>
                <w:sz w:val="21"/>
                <w:szCs w:val="21"/>
                <w:highlight w:val="none"/>
                <w:lang w:val="en-US" w:eastAsia="zh-CN" w:bidi="ar-SA"/>
              </w:rPr>
              <w:t>（元）</w:t>
            </w:r>
          </w:p>
        </w:tc>
        <w:tc>
          <w:tcPr>
            <w:tcW w:w="1059"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val="en-US" w:eastAsia="zh-CN" w:bidi="ar-SA"/>
              </w:rPr>
              <w:t>城镇常住居民人均可支配收入</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51871</w:t>
            </w: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35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pPr>
          </w:p>
        </w:tc>
        <w:tc>
          <w:tcPr>
            <w:tcW w:w="1055"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pPr>
          </w:p>
        </w:tc>
        <w:tc>
          <w:tcPr>
            <w:tcW w:w="1059"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val="en-US" w:eastAsia="zh-CN" w:bidi="ar-SA"/>
              </w:rPr>
              <w:t>农村常住居民人均可支配收入</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p>
        </w:tc>
        <w:tc>
          <w:tcPr>
            <w:tcW w:w="685"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bidi="ar-SA"/>
              </w:rPr>
              <w:t>11</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val="en-US" w:eastAsia="zh-CN" w:bidi="ar-SA"/>
              </w:rPr>
              <w:t>劳动年龄人口平均受教育年限</w:t>
            </w:r>
            <w:r>
              <w:rPr>
                <w:rFonts w:hint="default" w:cs="Times New Roman"/>
                <w:color w:val="auto"/>
                <w:kern w:val="0"/>
                <w:sz w:val="21"/>
                <w:szCs w:val="21"/>
                <w:highlight w:val="none"/>
                <w:lang w:val="en-US" w:eastAsia="zh-CN" w:bidi="ar-SA"/>
              </w:rPr>
              <w:t>（</w:t>
            </w:r>
            <w:r>
              <w:rPr>
                <w:rFonts w:hint="default" w:ascii="Times New Roman" w:hAnsi="Times New Roman" w:eastAsia="仿宋_GB2312" w:cs="Times New Roman"/>
                <w:color w:val="auto"/>
                <w:kern w:val="0"/>
                <w:sz w:val="21"/>
                <w:szCs w:val="21"/>
                <w:highlight w:val="none"/>
                <w:lang w:val="en-US" w:eastAsia="zh-CN" w:bidi="ar-SA"/>
              </w:rPr>
              <w:t>年</w:t>
            </w:r>
            <w:r>
              <w:rPr>
                <w:rFonts w:hint="default" w:cs="Times New Roman"/>
                <w:color w:val="auto"/>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bidi="ar-SA"/>
              </w:rPr>
              <w:t>12</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val="en-US" w:eastAsia="zh-CN" w:bidi="ar-SA"/>
              </w:rPr>
              <w:t>个人卫生支出占卫生总费用比重</w:t>
            </w:r>
            <w:r>
              <w:rPr>
                <w:rFonts w:hint="default" w:cs="Times New Roman"/>
                <w:color w:val="auto"/>
                <w:spacing w:val="1"/>
                <w:kern w:val="0"/>
                <w:sz w:val="21"/>
                <w:szCs w:val="21"/>
                <w:highlight w:val="none"/>
                <w:lang w:val="en-US" w:eastAsia="zh-CN" w:bidi="ar-SA"/>
              </w:rPr>
              <w:t>（</w:t>
            </w:r>
            <w:r>
              <w:rPr>
                <w:rFonts w:hint="default" w:ascii="Times New Roman" w:hAnsi="Times New Roman" w:eastAsia="仿宋_GB2312" w:cs="Times New Roman"/>
                <w:color w:val="auto"/>
                <w:spacing w:val="1"/>
                <w:kern w:val="0"/>
                <w:sz w:val="21"/>
                <w:szCs w:val="21"/>
                <w:highlight w:val="none"/>
                <w:lang w:val="en-US" w:eastAsia="zh-CN" w:bidi="ar-SA"/>
              </w:rPr>
              <w:t>%</w:t>
            </w:r>
            <w:r>
              <w:rPr>
                <w:rFonts w:hint="default" w:cs="Times New Roman"/>
                <w:color w:val="auto"/>
                <w:spacing w:val="1"/>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bidi="ar-SA"/>
              </w:rPr>
              <w:t>13</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val="en-US" w:eastAsia="zh-CN" w:bidi="ar-SA"/>
              </w:rPr>
              <w:t>每千名3岁以下婴幼儿托位数</w:t>
            </w:r>
            <w:r>
              <w:rPr>
                <w:rFonts w:hint="default" w:cs="Times New Roman"/>
                <w:color w:val="auto"/>
                <w:kern w:val="0"/>
                <w:sz w:val="21"/>
                <w:szCs w:val="21"/>
                <w:highlight w:val="none"/>
                <w:lang w:val="en-US" w:eastAsia="zh-CN" w:bidi="ar-SA"/>
              </w:rPr>
              <w:t>（</w:t>
            </w:r>
            <w:r>
              <w:rPr>
                <w:rFonts w:hint="default" w:ascii="Times New Roman" w:hAnsi="Times New Roman" w:eastAsia="仿宋_GB2312" w:cs="Times New Roman"/>
                <w:color w:val="auto"/>
                <w:kern w:val="0"/>
                <w:sz w:val="21"/>
                <w:szCs w:val="21"/>
                <w:highlight w:val="none"/>
                <w:lang w:val="en-US" w:eastAsia="zh-CN" w:bidi="ar-SA"/>
              </w:rPr>
              <w:t>个</w:t>
            </w:r>
            <w:r>
              <w:rPr>
                <w:rFonts w:hint="default" w:cs="Times New Roman"/>
                <w:color w:val="auto"/>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bidi="ar-SA"/>
              </w:rPr>
              <w:t>14</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val="en-US" w:eastAsia="zh-CN" w:bidi="ar-SA"/>
              </w:rPr>
              <w:t>每千名65岁以上人口养老机构护理型床位数</w:t>
            </w:r>
            <w:r>
              <w:rPr>
                <w:rFonts w:hint="default" w:cs="Times New Roman"/>
                <w:color w:val="auto"/>
                <w:kern w:val="0"/>
                <w:sz w:val="21"/>
                <w:szCs w:val="21"/>
                <w:highlight w:val="none"/>
                <w:lang w:val="en-US" w:eastAsia="zh-CN" w:bidi="ar-SA"/>
              </w:rPr>
              <w:t>（</w:t>
            </w:r>
            <w:r>
              <w:rPr>
                <w:rFonts w:hint="default" w:ascii="Times New Roman" w:hAnsi="Times New Roman" w:eastAsia="仿宋_GB2312" w:cs="Times New Roman"/>
                <w:color w:val="auto"/>
                <w:kern w:val="0"/>
                <w:sz w:val="21"/>
                <w:szCs w:val="21"/>
                <w:highlight w:val="none"/>
                <w:lang w:val="en-US" w:eastAsia="zh-CN" w:bidi="ar-SA"/>
              </w:rPr>
              <w:t>个</w:t>
            </w:r>
            <w:r>
              <w:rPr>
                <w:rFonts w:hint="default" w:cs="Times New Roman"/>
                <w:color w:val="auto"/>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spacing w:val="1"/>
                <w:kern w:val="0"/>
                <w:sz w:val="21"/>
                <w:szCs w:val="21"/>
                <w:highlight w:val="none"/>
                <w:lang w:val="en-US" w:eastAsia="zh-CN" w:bidi="ar-SA"/>
              </w:rPr>
            </w:pPr>
            <w:r>
              <w:rPr>
                <w:rFonts w:hint="default" w:cs="Times New Roman"/>
                <w:color w:val="auto"/>
                <w:spacing w:val="1"/>
                <w:kern w:val="0"/>
                <w:sz w:val="21"/>
                <w:szCs w:val="21"/>
                <w:highlight w:val="none"/>
                <w:lang w:val="en-US" w:eastAsia="zh-CN" w:bidi="ar-SA"/>
              </w:rPr>
              <w:t>15</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spacing w:val="1"/>
                <w:kern w:val="0"/>
                <w:sz w:val="21"/>
                <w:szCs w:val="21"/>
                <w:highlight w:val="none"/>
                <w:lang w:val="en-US" w:eastAsia="en-US" w:bidi="ar-SA"/>
              </w:rPr>
              <w:t>人均预期寿命</w:t>
            </w:r>
            <w:r>
              <w:rPr>
                <w:rFonts w:hint="default" w:cs="Times New Roman"/>
                <w:color w:val="auto"/>
                <w:spacing w:val="1"/>
                <w:kern w:val="0"/>
                <w:sz w:val="21"/>
                <w:szCs w:val="21"/>
                <w:highlight w:val="none"/>
                <w:lang w:val="en-US" w:eastAsia="zh-CN" w:bidi="ar-SA"/>
              </w:rPr>
              <w:t>（</w:t>
            </w:r>
            <w:r>
              <w:rPr>
                <w:rFonts w:hint="default" w:ascii="Times New Roman" w:hAnsi="Times New Roman" w:eastAsia="仿宋_GB2312" w:cs="Times New Roman"/>
                <w:color w:val="auto"/>
                <w:spacing w:val="1"/>
                <w:kern w:val="0"/>
                <w:sz w:val="21"/>
                <w:szCs w:val="21"/>
                <w:highlight w:val="none"/>
                <w:lang w:val="en-US" w:eastAsia="en-US" w:bidi="ar-SA"/>
              </w:rPr>
              <w:t>岁</w:t>
            </w:r>
            <w:r>
              <w:rPr>
                <w:rFonts w:hint="default" w:cs="Times New Roman"/>
                <w:color w:val="auto"/>
                <w:spacing w:val="1"/>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黑体" w:cs="Times New Roman"/>
                <w:b w:val="0"/>
                <w:bCs w:val="0"/>
                <w:color w:val="auto"/>
                <w:spacing w:val="1"/>
                <w:kern w:val="0"/>
                <w:sz w:val="21"/>
                <w:szCs w:val="21"/>
                <w:highlight w:val="none"/>
                <w:lang w:val="en-US" w:eastAsia="zh-CN" w:bidi="ar-SA"/>
              </w:rPr>
              <w:t>绿色生态（5项）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bidi="ar-SA"/>
              </w:rPr>
              <w:t>16</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val="en-US" w:eastAsia="zh-CN" w:bidi="ar-SA"/>
              </w:rPr>
              <w:t>单位地区生产总值二氧化碳排放降低</w:t>
            </w:r>
            <w:r>
              <w:rPr>
                <w:rFonts w:hint="default" w:cs="Times New Roman"/>
                <w:color w:val="auto"/>
                <w:kern w:val="0"/>
                <w:sz w:val="21"/>
                <w:szCs w:val="21"/>
                <w:highlight w:val="none"/>
                <w:lang w:val="en-US" w:eastAsia="zh-CN" w:bidi="ar-SA"/>
              </w:rPr>
              <w:t>（</w:t>
            </w:r>
            <w:r>
              <w:rPr>
                <w:rFonts w:hint="default" w:ascii="Times New Roman" w:hAnsi="Times New Roman" w:eastAsia="仿宋_GB2312" w:cs="Times New Roman"/>
                <w:color w:val="auto"/>
                <w:kern w:val="0"/>
                <w:sz w:val="21"/>
                <w:szCs w:val="21"/>
                <w:highlight w:val="none"/>
                <w:lang w:val="en-US" w:eastAsia="zh-CN" w:bidi="ar-SA"/>
              </w:rPr>
              <w:t>%</w:t>
            </w:r>
            <w:r>
              <w:rPr>
                <w:rFonts w:hint="default" w:cs="Times New Roman"/>
                <w:color w:val="auto"/>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bidi="ar-SA"/>
              </w:rPr>
              <w:t>17</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val="en-US" w:eastAsia="zh-CN" w:bidi="ar-SA"/>
              </w:rPr>
              <w:t>非化石能源占能源消费总量比重</w:t>
            </w:r>
            <w:r>
              <w:rPr>
                <w:rFonts w:hint="default" w:cs="Times New Roman"/>
                <w:color w:val="auto"/>
                <w:kern w:val="0"/>
                <w:sz w:val="21"/>
                <w:szCs w:val="21"/>
                <w:highlight w:val="none"/>
                <w:lang w:val="en-US" w:eastAsia="zh-CN" w:bidi="ar-SA"/>
              </w:rPr>
              <w:t>（</w:t>
            </w:r>
            <w:r>
              <w:rPr>
                <w:rFonts w:hint="default" w:ascii="Times New Roman" w:hAnsi="Times New Roman" w:eastAsia="仿宋_GB2312" w:cs="Times New Roman"/>
                <w:color w:val="auto"/>
                <w:kern w:val="0"/>
                <w:sz w:val="21"/>
                <w:szCs w:val="21"/>
                <w:highlight w:val="none"/>
                <w:lang w:val="en-US" w:eastAsia="zh-CN" w:bidi="ar-SA"/>
              </w:rPr>
              <w:t>%</w:t>
            </w:r>
            <w:r>
              <w:rPr>
                <w:rFonts w:hint="default" w:cs="Times New Roman"/>
                <w:color w:val="auto"/>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spacing w:val="1"/>
                <w:kern w:val="0"/>
                <w:sz w:val="21"/>
                <w:szCs w:val="21"/>
                <w:highlight w:val="none"/>
                <w:lang w:val="en-US" w:eastAsia="zh-CN" w:bidi="ar-SA"/>
              </w:rPr>
            </w:pPr>
            <w:r>
              <w:rPr>
                <w:rFonts w:hint="default" w:cs="Times New Roman"/>
                <w:color w:val="auto"/>
                <w:spacing w:val="1"/>
                <w:kern w:val="0"/>
                <w:sz w:val="21"/>
                <w:szCs w:val="21"/>
                <w:highlight w:val="none"/>
                <w:lang w:val="en-US" w:eastAsia="zh-CN" w:bidi="ar-SA"/>
              </w:rPr>
              <w:t>18</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spacing w:val="1"/>
                <w:kern w:val="0"/>
                <w:sz w:val="21"/>
                <w:szCs w:val="21"/>
                <w:highlight w:val="none"/>
                <w:lang w:val="en-US" w:eastAsia="zh-CN" w:bidi="ar-SA"/>
              </w:rPr>
            </w:pPr>
            <w:r>
              <w:rPr>
                <w:rFonts w:hint="default" w:ascii="Times New Roman" w:hAnsi="Times New Roman" w:eastAsia="仿宋_GB2312" w:cs="Times New Roman"/>
                <w:color w:val="auto"/>
                <w:spacing w:val="1"/>
                <w:kern w:val="0"/>
                <w:sz w:val="21"/>
                <w:szCs w:val="21"/>
                <w:highlight w:val="none"/>
                <w:lang w:val="en-US" w:eastAsia="zh-CN" w:bidi="ar-SA"/>
              </w:rPr>
              <w:t>细颗粒物</w:t>
            </w:r>
            <w:r>
              <w:rPr>
                <w:rFonts w:hint="default" w:cs="Times New Roman"/>
                <w:color w:val="auto"/>
                <w:spacing w:val="1"/>
                <w:kern w:val="0"/>
                <w:sz w:val="21"/>
                <w:szCs w:val="21"/>
                <w:highlight w:val="none"/>
                <w:lang w:val="en-US" w:eastAsia="zh-CN" w:bidi="ar-SA"/>
              </w:rPr>
              <w:t>（</w:t>
            </w:r>
            <w:r>
              <w:rPr>
                <w:rFonts w:hint="default" w:ascii="Times New Roman" w:hAnsi="Times New Roman" w:eastAsia="仿宋_GB2312" w:cs="Times New Roman"/>
                <w:color w:val="auto"/>
                <w:spacing w:val="1"/>
                <w:kern w:val="0"/>
                <w:sz w:val="21"/>
                <w:szCs w:val="21"/>
                <w:highlight w:val="none"/>
                <w:lang w:val="en-US" w:eastAsia="zh-CN" w:bidi="ar-SA"/>
              </w:rPr>
              <w:t>PM2.5</w:t>
            </w:r>
            <w:r>
              <w:rPr>
                <w:rFonts w:hint="default" w:cs="Times New Roman"/>
                <w:color w:val="auto"/>
                <w:spacing w:val="1"/>
                <w:kern w:val="0"/>
                <w:sz w:val="21"/>
                <w:szCs w:val="21"/>
                <w:highlight w:val="none"/>
                <w:lang w:val="en-US" w:eastAsia="zh-CN" w:bidi="ar-SA"/>
              </w:rPr>
              <w:t>）</w:t>
            </w:r>
            <w:r>
              <w:rPr>
                <w:rFonts w:hint="default" w:ascii="Times New Roman" w:hAnsi="Times New Roman" w:eastAsia="仿宋_GB2312" w:cs="Times New Roman"/>
                <w:color w:val="auto"/>
                <w:spacing w:val="1"/>
                <w:kern w:val="0"/>
                <w:sz w:val="21"/>
                <w:szCs w:val="21"/>
                <w:highlight w:val="none"/>
                <w:lang w:val="en-US" w:eastAsia="zh-CN" w:bidi="ar-SA"/>
              </w:rPr>
              <w:t>浓度</w:t>
            </w:r>
            <w:r>
              <w:rPr>
                <w:rFonts w:hint="default" w:cs="Times New Roman"/>
                <w:color w:val="auto"/>
                <w:spacing w:val="1"/>
                <w:kern w:val="0"/>
                <w:sz w:val="21"/>
                <w:szCs w:val="21"/>
                <w:highlight w:val="none"/>
                <w:lang w:val="en-US" w:eastAsia="zh-CN" w:bidi="ar-SA"/>
              </w:rPr>
              <w:t>（</w:t>
            </w:r>
            <w:r>
              <w:rPr>
                <w:rFonts w:hint="default" w:ascii="Times New Roman" w:hAnsi="Times New Roman" w:eastAsia="仿宋_GB2312" w:cs="Times New Roman"/>
                <w:color w:val="auto"/>
                <w:spacing w:val="1"/>
                <w:kern w:val="0"/>
                <w:sz w:val="21"/>
                <w:szCs w:val="21"/>
                <w:highlight w:val="none"/>
                <w:lang w:val="en-US" w:eastAsia="zh-CN" w:bidi="ar-SA"/>
              </w:rPr>
              <w:t>微克/立方米</w:t>
            </w:r>
            <w:r>
              <w:rPr>
                <w:rFonts w:hint="default" w:cs="Times New Roman"/>
                <w:color w:val="auto"/>
                <w:spacing w:val="1"/>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spacing w:val="1"/>
                <w:kern w:val="0"/>
                <w:sz w:val="21"/>
                <w:szCs w:val="21"/>
                <w:highlight w:val="none"/>
                <w:lang w:val="en-US" w:eastAsia="zh-CN" w:bidi="ar-SA"/>
              </w:rPr>
            </w:pPr>
            <w:r>
              <w:rPr>
                <w:rFonts w:hint="default" w:cs="Times New Roman"/>
                <w:color w:val="auto"/>
                <w:spacing w:val="1"/>
                <w:kern w:val="0"/>
                <w:sz w:val="21"/>
                <w:szCs w:val="21"/>
                <w:highlight w:val="none"/>
                <w:lang w:val="en-US" w:eastAsia="zh-CN" w:bidi="ar-SA"/>
              </w:rPr>
              <w:t>19</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spacing w:val="1"/>
                <w:kern w:val="0"/>
                <w:sz w:val="21"/>
                <w:szCs w:val="21"/>
                <w:highlight w:val="none"/>
                <w:lang w:val="en-US" w:eastAsia="en-US" w:bidi="ar-SA"/>
              </w:rPr>
              <w:t>优良水体比例</w:t>
            </w:r>
            <w:r>
              <w:rPr>
                <w:rFonts w:hint="default" w:cs="Times New Roman"/>
                <w:color w:val="auto"/>
                <w:spacing w:val="1"/>
                <w:kern w:val="0"/>
                <w:sz w:val="21"/>
                <w:szCs w:val="21"/>
                <w:highlight w:val="none"/>
                <w:lang w:val="en-US" w:eastAsia="zh-CN" w:bidi="ar-SA"/>
              </w:rPr>
              <w:t>（</w:t>
            </w:r>
            <w:r>
              <w:rPr>
                <w:rFonts w:hint="default" w:ascii="Times New Roman" w:hAnsi="Times New Roman" w:eastAsia="仿宋_GB2312" w:cs="Times New Roman"/>
                <w:color w:val="auto"/>
                <w:spacing w:val="1"/>
                <w:kern w:val="0"/>
                <w:sz w:val="21"/>
                <w:szCs w:val="21"/>
                <w:highlight w:val="none"/>
                <w:lang w:val="en-US" w:eastAsia="en-US" w:bidi="ar-SA"/>
              </w:rPr>
              <w:t>%</w:t>
            </w:r>
            <w:r>
              <w:rPr>
                <w:rFonts w:hint="default" w:cs="Times New Roman"/>
                <w:color w:val="auto"/>
                <w:spacing w:val="1"/>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zh-CN" w:bidi="ar-SA"/>
              </w:rPr>
            </w:pPr>
            <w:r>
              <w:rPr>
                <w:rFonts w:hint="eastAsia" w:cs="Times New Roman"/>
                <w:color w:val="auto"/>
                <w:spacing w:val="6"/>
                <w:kern w:val="0"/>
                <w:sz w:val="21"/>
                <w:szCs w:val="21"/>
                <w:highlight w:val="none"/>
                <w:lang w:val="en-US" w:eastAsia="zh-CN" w:bidi="ar-SA"/>
              </w:rPr>
              <w:t>100</w:t>
            </w: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zh-CN"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spacing w:val="1"/>
                <w:kern w:val="0"/>
                <w:sz w:val="21"/>
                <w:szCs w:val="21"/>
                <w:highlight w:val="none"/>
                <w:lang w:val="en-US" w:eastAsia="zh-CN" w:bidi="ar-SA"/>
              </w:rPr>
            </w:pPr>
            <w:r>
              <w:rPr>
                <w:rFonts w:hint="default" w:cs="Times New Roman"/>
                <w:color w:val="auto"/>
                <w:spacing w:val="1"/>
                <w:kern w:val="0"/>
                <w:sz w:val="21"/>
                <w:szCs w:val="21"/>
                <w:highlight w:val="none"/>
                <w:lang w:val="en-US" w:eastAsia="zh-CN" w:bidi="ar-SA"/>
              </w:rPr>
              <w:t>20</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spacing w:val="1"/>
                <w:kern w:val="0"/>
                <w:sz w:val="21"/>
                <w:szCs w:val="21"/>
                <w:highlight w:val="none"/>
                <w:lang w:val="en-US" w:eastAsia="en-US" w:bidi="ar-SA"/>
              </w:rPr>
              <w:t>森林覆盖率</w:t>
            </w:r>
            <w:r>
              <w:rPr>
                <w:rFonts w:hint="default" w:cs="Times New Roman"/>
                <w:color w:val="auto"/>
                <w:spacing w:val="1"/>
                <w:kern w:val="0"/>
                <w:sz w:val="21"/>
                <w:szCs w:val="21"/>
                <w:highlight w:val="none"/>
                <w:lang w:val="en-US" w:eastAsia="zh-CN" w:bidi="ar-SA"/>
              </w:rPr>
              <w:t>（</w:t>
            </w:r>
            <w:r>
              <w:rPr>
                <w:rFonts w:hint="default" w:ascii="Times New Roman" w:hAnsi="Times New Roman" w:eastAsia="仿宋_GB2312" w:cs="Times New Roman"/>
                <w:color w:val="auto"/>
                <w:spacing w:val="1"/>
                <w:kern w:val="0"/>
                <w:sz w:val="21"/>
                <w:szCs w:val="21"/>
                <w:highlight w:val="none"/>
                <w:lang w:val="en-US" w:eastAsia="en-US" w:bidi="ar-SA"/>
              </w:rPr>
              <w:t>%</w:t>
            </w:r>
            <w:r>
              <w:rPr>
                <w:rFonts w:hint="default" w:cs="Times New Roman"/>
                <w:color w:val="auto"/>
                <w:spacing w:val="1"/>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黑体" w:cs="Times New Roman"/>
                <w:b w:val="0"/>
                <w:bCs w:val="0"/>
                <w:color w:val="auto"/>
                <w:spacing w:val="1"/>
                <w:kern w:val="0"/>
                <w:sz w:val="21"/>
                <w:szCs w:val="21"/>
                <w:highlight w:val="none"/>
                <w:lang w:val="en-US" w:eastAsia="zh-CN" w:bidi="ar-SA"/>
              </w:rPr>
              <w:t>安全保障（2项）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bidi="ar-SA"/>
              </w:rPr>
              <w:t>21</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val="en-US" w:eastAsia="zh-CN" w:bidi="ar-SA"/>
              </w:rPr>
              <w:t>.粮食综合生产能力</w:t>
            </w:r>
            <w:r>
              <w:rPr>
                <w:rFonts w:hint="default" w:cs="Times New Roman"/>
                <w:color w:val="auto"/>
                <w:kern w:val="0"/>
                <w:sz w:val="21"/>
                <w:szCs w:val="21"/>
                <w:highlight w:val="none"/>
                <w:lang w:val="en-US" w:eastAsia="zh-CN" w:bidi="ar-SA"/>
              </w:rPr>
              <w:t>（</w:t>
            </w:r>
            <w:r>
              <w:rPr>
                <w:rFonts w:hint="default" w:ascii="Times New Roman" w:hAnsi="Times New Roman" w:eastAsia="仿宋_GB2312" w:cs="Times New Roman"/>
                <w:color w:val="auto"/>
                <w:kern w:val="0"/>
                <w:sz w:val="21"/>
                <w:szCs w:val="21"/>
                <w:highlight w:val="none"/>
                <w:lang w:val="en-US" w:eastAsia="zh-CN" w:bidi="ar-SA"/>
              </w:rPr>
              <w:t>万吨</w:t>
            </w:r>
            <w:r>
              <w:rPr>
                <w:rFonts w:hint="default" w:cs="Times New Roman"/>
                <w:color w:val="auto"/>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35.3</w:t>
            </w: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bidi="ar-SA"/>
              </w:rPr>
              <w:t>22</w:t>
            </w:r>
          </w:p>
        </w:tc>
        <w:tc>
          <w:tcPr>
            <w:tcW w:w="2114" w:type="pct"/>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val="en-US" w:eastAsia="zh-CN" w:bidi="ar-SA"/>
              </w:rPr>
              <w:t>能源综合生产能力</w:t>
            </w:r>
            <w:r>
              <w:rPr>
                <w:rFonts w:hint="default" w:cs="Times New Roman"/>
                <w:color w:val="auto"/>
                <w:kern w:val="0"/>
                <w:sz w:val="21"/>
                <w:szCs w:val="21"/>
                <w:highlight w:val="none"/>
                <w:lang w:val="en-US" w:eastAsia="zh-CN" w:bidi="ar-SA"/>
              </w:rPr>
              <w:t>（</w:t>
            </w:r>
            <w:r>
              <w:rPr>
                <w:rFonts w:hint="default" w:ascii="Times New Roman" w:hAnsi="Times New Roman" w:eastAsia="仿宋_GB2312" w:cs="Times New Roman"/>
                <w:color w:val="auto"/>
                <w:kern w:val="0"/>
                <w:sz w:val="21"/>
                <w:szCs w:val="21"/>
                <w:highlight w:val="none"/>
                <w:lang w:val="en-US" w:eastAsia="zh-CN" w:bidi="ar-SA"/>
              </w:rPr>
              <w:t>万吨标准煤</w:t>
            </w:r>
            <w:r>
              <w:rPr>
                <w:rFonts w:hint="default" w:cs="Times New Roman"/>
                <w:color w:val="auto"/>
                <w:kern w:val="0"/>
                <w:sz w:val="21"/>
                <w:szCs w:val="21"/>
                <w:highlight w:val="none"/>
                <w:lang w:val="en-US" w:eastAsia="zh-CN" w:bidi="ar-SA"/>
              </w:rPr>
              <w:t>）</w:t>
            </w:r>
          </w:p>
        </w:tc>
        <w:tc>
          <w:tcPr>
            <w:tcW w:w="59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p>
        </w:tc>
        <w:tc>
          <w:tcPr>
            <w:tcW w:w="6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仿宋_GB2312" w:cs="Times New Roman"/>
                <w:color w:val="auto"/>
                <w:spacing w:val="6"/>
                <w:kern w:val="0"/>
                <w:sz w:val="21"/>
                <w:szCs w:val="21"/>
                <w:highlight w:val="none"/>
                <w:lang w:val="en-US" w:eastAsia="en-US" w:bidi="ar-SA"/>
              </w:rPr>
            </w:pPr>
            <w:r>
              <w:rPr>
                <w:rFonts w:hint="default" w:ascii="Times New Roman" w:hAnsi="Times New Roman" w:eastAsia="仿宋_GB2312" w:cs="Times New Roman"/>
                <w:color w:val="auto"/>
                <w:spacing w:val="6"/>
                <w:kern w:val="0"/>
                <w:sz w:val="21"/>
                <w:szCs w:val="21"/>
                <w:highlight w:val="none"/>
                <w:lang w:val="en-US" w:eastAsia="en-US" w:bidi="ar-SA"/>
              </w:rPr>
              <w:t>约束性</w:t>
            </w:r>
          </w:p>
        </w:tc>
      </w:tr>
    </w:tbl>
    <w:p>
      <w:pPr>
        <w:ind w:left="0" w:leftChars="0" w:firstLine="0" w:firstLineChars="0"/>
        <w:rPr>
          <w:rFonts w:hint="default" w:cs="Times New Roman"/>
          <w:lang w:val="en-US" w:eastAsia="zh-CN"/>
        </w:rPr>
      </w:pPr>
    </w:p>
    <w:p>
      <w:pPr>
        <w:pStyle w:val="2"/>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简体" w:cs="Times New Roman"/>
          <w:highlight w:val="none"/>
          <w:lang w:val="en-US" w:eastAsia="zh-CN"/>
        </w:rPr>
      </w:pPr>
      <w:bookmarkStart w:id="74" w:name="_Toc22097"/>
      <w:r>
        <w:rPr>
          <w:rFonts w:hint="default" w:ascii="Times New Roman" w:hAnsi="Times New Roman" w:eastAsia="方正小标宋简体" w:cs="Times New Roman"/>
          <w:highlight w:val="none"/>
          <w:lang w:val="en-US" w:eastAsia="zh-CN"/>
        </w:rPr>
        <w:t xml:space="preserve">第三章 </w:t>
      </w:r>
      <w:r>
        <w:rPr>
          <w:rFonts w:hint="eastAsia" w:eastAsia="方正小标宋简体" w:cs="Times New Roman"/>
          <w:highlight w:val="none"/>
          <w:lang w:val="en-US" w:eastAsia="zh-CN"/>
        </w:rPr>
        <w:t>锚定</w:t>
      </w:r>
      <w:r>
        <w:rPr>
          <w:rFonts w:hint="default" w:ascii="Times New Roman" w:hAnsi="Times New Roman" w:eastAsia="方正小标宋简体" w:cs="Times New Roman"/>
          <w:highlight w:val="none"/>
          <w:lang w:val="en-US" w:eastAsia="zh-CN"/>
        </w:rPr>
        <w:t>“能源新都”</w:t>
      </w:r>
      <w:r>
        <w:rPr>
          <w:rFonts w:hint="eastAsia" w:eastAsia="方正小标宋简体" w:cs="Times New Roman"/>
          <w:highlight w:val="none"/>
          <w:lang w:val="en-US" w:eastAsia="zh-CN"/>
        </w:rPr>
        <w:t>，</w:t>
      </w:r>
      <w:r>
        <w:rPr>
          <w:rFonts w:hint="default" w:ascii="Times New Roman" w:hAnsi="Times New Roman" w:eastAsia="方正小标宋简体" w:cs="Times New Roman"/>
          <w:highlight w:val="none"/>
          <w:lang w:val="en-US" w:eastAsia="zh-CN"/>
        </w:rPr>
        <w:t>构建“1+4+N”现代化产业体系</w:t>
      </w:r>
      <w:bookmarkEnd w:id="74"/>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始终把发展制造业作为全区高质量转型发展的根本所在，立足煤电化基本盘，培育壮大新能源、化工新材料、高端装备制造、绿色食品四大战略性新兴产业，前瞻布局未来产业，配套发展一批生产性服务业和生活性服务业，推动全区产业结构从“一煤独大”向“多业共兴”转型，巩固壮大实体经济根基。</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color w:val="FF0000"/>
          <w:lang w:val="en-US" w:eastAsia="zh-CN"/>
        </w:rPr>
      </w:pPr>
      <w:bookmarkStart w:id="75" w:name="_Toc11003"/>
      <w:r>
        <w:rPr>
          <w:rFonts w:hint="default" w:ascii="Times New Roman" w:hAnsi="Times New Roman" w:eastAsia="黑体" w:cs="Times New Roman"/>
          <w:b w:val="0"/>
          <w:bCs/>
          <w:lang w:val="en-US" w:eastAsia="zh-CN"/>
        </w:rPr>
        <w:t xml:space="preserve">第一节 </w:t>
      </w:r>
      <w:r>
        <w:rPr>
          <w:rFonts w:hint="default" w:ascii="Times New Roman" w:hAnsi="Times New Roman" w:eastAsia="黑体" w:cs="Times New Roman"/>
          <w:b w:val="0"/>
          <w:bCs/>
          <w:color w:val="auto"/>
          <w:lang w:val="en-US" w:eastAsia="zh-CN"/>
        </w:rPr>
        <w:t>推进煤电产业加快转型</w:t>
      </w:r>
      <w:bookmarkEnd w:id="75"/>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锚定“综合能源先行区”的战略定位</w:t>
      </w:r>
      <w:r>
        <w:rPr>
          <w:rFonts w:hint="default" w:cs="Times New Roman"/>
          <w:lang w:val="en-US" w:eastAsia="zh-CN"/>
        </w:rPr>
        <w:t>，</w:t>
      </w:r>
      <w:r>
        <w:rPr>
          <w:rFonts w:hint="default" w:ascii="Times New Roman" w:hAnsi="Times New Roman" w:cs="Times New Roman"/>
          <w:lang w:val="en-US" w:eastAsia="zh-CN"/>
        </w:rPr>
        <w:t>加快</w:t>
      </w:r>
      <w:r>
        <w:rPr>
          <w:rFonts w:hint="default" w:cs="Times New Roman"/>
          <w:lang w:val="en-US" w:eastAsia="zh-CN"/>
        </w:rPr>
        <w:t>建设</w:t>
      </w:r>
      <w:r>
        <w:rPr>
          <w:rFonts w:hint="default" w:ascii="Times New Roman" w:hAnsi="Times New Roman" w:cs="Times New Roman"/>
          <w:lang w:val="en-US" w:eastAsia="zh-CN"/>
        </w:rPr>
        <w:t>新型综合能源基地，一体</w:t>
      </w:r>
      <w:r>
        <w:rPr>
          <w:rFonts w:hint="default" w:cs="Times New Roman"/>
          <w:lang w:val="en-US" w:eastAsia="zh-CN"/>
        </w:rPr>
        <w:t>化</w:t>
      </w:r>
      <w:r>
        <w:rPr>
          <w:rFonts w:hint="default" w:ascii="Times New Roman" w:hAnsi="Times New Roman" w:cs="Times New Roman"/>
          <w:lang w:val="en-US" w:eastAsia="zh-CN"/>
        </w:rPr>
        <w:t>推进煤电联营、煤气联动、煤化联产，打通煤电化气全产业链路径。扎实推进煤炭绿色深加工和化石能源清洁高效利用</w:t>
      </w:r>
      <w:r>
        <w:rPr>
          <w:rFonts w:hint="default" w:cs="Times New Roman"/>
          <w:lang w:val="en-US" w:eastAsia="zh-CN"/>
        </w:rPr>
        <w:t>，</w:t>
      </w:r>
      <w:r>
        <w:rPr>
          <w:rFonts w:hint="default" w:ascii="Times New Roman" w:hAnsi="Times New Roman" w:cs="Times New Roman"/>
          <w:lang w:val="en-US" w:eastAsia="zh-CN"/>
        </w:rPr>
        <w:t>依托国家级大宗固体废弃物综合利用基地，</w:t>
      </w:r>
      <w:r>
        <w:rPr>
          <w:rFonts w:hint="default" w:cs="Times New Roman"/>
          <w:lang w:val="en-US" w:eastAsia="zh-CN"/>
        </w:rPr>
        <w:t>大力</w:t>
      </w:r>
      <w:r>
        <w:rPr>
          <w:rFonts w:hint="default" w:ascii="Times New Roman" w:hAnsi="Times New Roman" w:cs="Times New Roman"/>
          <w:lang w:val="en-US" w:eastAsia="zh-CN"/>
        </w:rPr>
        <w:t>推进煤系固废物</w:t>
      </w:r>
      <w:r>
        <w:rPr>
          <w:rFonts w:hint="default" w:cs="Times New Roman"/>
          <w:lang w:val="en-US" w:eastAsia="zh-CN"/>
        </w:rPr>
        <w:t>资源化利用</w:t>
      </w:r>
      <w:r>
        <w:rPr>
          <w:rFonts w:hint="default" w:ascii="Times New Roman" w:hAnsi="Times New Roman" w:cs="Times New Roman"/>
          <w:lang w:val="en-US" w:eastAsia="zh-CN"/>
        </w:rPr>
        <w:t>，解决煤矸石、粉煤灰、脱硫石膏等固体废弃物污染问题，加速科昂</w:t>
      </w:r>
      <w:r>
        <w:rPr>
          <w:rFonts w:hint="default" w:cs="Times New Roman"/>
          <w:lang w:val="en-US" w:eastAsia="zh-CN"/>
        </w:rPr>
        <w:t>新材料科技</w:t>
      </w:r>
      <w:r>
        <w:rPr>
          <w:rFonts w:hint="default" w:ascii="Times New Roman" w:hAnsi="Times New Roman" w:cs="Times New Roman"/>
          <w:lang w:val="en-US" w:eastAsia="zh-CN"/>
        </w:rPr>
        <w:t>粉煤灰综合</w:t>
      </w:r>
      <w:r>
        <w:rPr>
          <w:rFonts w:hint="default" w:cs="Times New Roman"/>
          <w:lang w:val="en-US" w:eastAsia="zh-CN"/>
        </w:rPr>
        <w:t>利用项目开工</w:t>
      </w:r>
      <w:r>
        <w:rPr>
          <w:rFonts w:hint="default" w:ascii="Times New Roman" w:hAnsi="Times New Roman" w:cs="Times New Roman"/>
          <w:lang w:val="en-US" w:eastAsia="zh-CN"/>
        </w:rPr>
        <w:t>投产。支持潘集电厂等</w:t>
      </w:r>
      <w:r>
        <w:rPr>
          <w:rFonts w:hint="default" w:cs="Times New Roman"/>
          <w:lang w:val="en-US" w:eastAsia="zh-CN"/>
        </w:rPr>
        <w:t>企业</w:t>
      </w:r>
      <w:r>
        <w:rPr>
          <w:rFonts w:hint="default" w:ascii="Times New Roman" w:hAnsi="Times New Roman" w:cs="Times New Roman"/>
          <w:lang w:val="en-US" w:eastAsia="zh-CN"/>
        </w:rPr>
        <w:t>积极推进现役机组实施低碳化改造，因地制宜采用零碳低碳燃料掺烧、碳捕集利用与封存、煤电与新能源耦合等技术，提升机组清洁降碳技术水平</w:t>
      </w:r>
      <w:r>
        <w:rPr>
          <w:rFonts w:hint="default" w:cs="Times New Roman"/>
          <w:lang w:val="en-US" w:eastAsia="zh-CN"/>
        </w:rPr>
        <w:t>。</w:t>
      </w:r>
      <w:r>
        <w:rPr>
          <w:rFonts w:hint="default" w:ascii="Times New Roman" w:hAnsi="Times New Roman" w:cs="Times New Roman"/>
          <w:lang w:val="en-US" w:eastAsia="zh-CN"/>
        </w:rPr>
        <w:t>探索“煤电+储能”模式</w:t>
      </w:r>
      <w:r>
        <w:rPr>
          <w:rFonts w:hint="default" w:cs="Times New Roman"/>
          <w:lang w:val="en-US" w:eastAsia="zh-CN"/>
        </w:rPr>
        <w:t>，支持煤电龙头企业积极</w:t>
      </w:r>
      <w:r>
        <w:rPr>
          <w:rFonts w:hint="default" w:ascii="Times New Roman" w:hAnsi="Times New Roman" w:cs="Times New Roman"/>
          <w:lang w:val="en-US" w:eastAsia="zh-CN"/>
        </w:rPr>
        <w:t>拓展氢能制备、储能系统集成等业务，提供综合能源服务，推动煤电在新型电力系统中更好发挥兜底保障和支撑调节作用</w:t>
      </w:r>
      <w:r>
        <w:rPr>
          <w:rFonts w:hint="default" w:cs="Times New Roman"/>
          <w:lang w:val="en-US" w:eastAsia="zh-CN"/>
        </w:rPr>
        <w:t>，支持经开区（北区）配合市煤化工园区积极申报省级零碳产业园</w:t>
      </w:r>
      <w:r>
        <w:rPr>
          <w:rFonts w:hint="default" w:ascii="Times New Roman" w:hAnsi="Times New Roman" w:cs="Times New Roman"/>
          <w:lang w:val="en-US" w:eastAsia="zh-CN"/>
        </w:rPr>
        <w:t>。推进煤电智能化升级，加大煤电深度调峰和快速变负荷智能控制技术创新攻关和工程应用力度，集成应用5G、人工智能等技术，提升机组智能运行技术水平。</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color w:val="auto"/>
          <w:lang w:val="en-US" w:eastAsia="zh-CN"/>
        </w:rPr>
      </w:pPr>
      <w:bookmarkStart w:id="76" w:name="_Toc18108"/>
      <w:r>
        <w:rPr>
          <w:rFonts w:hint="default" w:ascii="Times New Roman" w:hAnsi="Times New Roman" w:eastAsia="黑体" w:cs="Times New Roman"/>
          <w:b w:val="0"/>
          <w:bCs/>
          <w:lang w:val="en-US" w:eastAsia="zh-CN"/>
        </w:rPr>
        <w:t xml:space="preserve">第二节 </w:t>
      </w:r>
      <w:r>
        <w:rPr>
          <w:rFonts w:hint="default" w:ascii="Times New Roman" w:hAnsi="Times New Roman" w:eastAsia="黑体" w:cs="Times New Roman"/>
          <w:b w:val="0"/>
          <w:bCs/>
          <w:color w:val="auto"/>
          <w:lang w:val="en-US" w:eastAsia="zh-CN"/>
        </w:rPr>
        <w:t>壮大四个战略性新兴产业</w:t>
      </w:r>
      <w:bookmarkEnd w:id="76"/>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紧抓皖北地区建设四大产业集群发展契机，充分衔接淮南市聚力打造新能源汽车、新能源、新材料、绿色食品4个千亿产业集群</w:t>
      </w:r>
      <w:r>
        <w:rPr>
          <w:rFonts w:hint="default" w:cs="Times New Roman"/>
          <w:lang w:val="en-US" w:eastAsia="zh-CN"/>
        </w:rPr>
        <w:t>及</w:t>
      </w:r>
      <w:r>
        <w:rPr>
          <w:rFonts w:hint="default" w:ascii="Times New Roman" w:hAnsi="Times New Roman" w:cs="Times New Roman"/>
          <w:lang w:val="en-US" w:eastAsia="zh-CN"/>
        </w:rPr>
        <w:t>高端装备等3个特色产业集群，</w:t>
      </w:r>
      <w:r>
        <w:rPr>
          <w:rFonts w:hint="default" w:cs="Times New Roman"/>
          <w:lang w:val="en-US" w:eastAsia="zh-CN"/>
        </w:rPr>
        <w:t>立足</w:t>
      </w:r>
      <w:r>
        <w:rPr>
          <w:rFonts w:hint="default" w:ascii="Times New Roman" w:hAnsi="Times New Roman" w:cs="Times New Roman"/>
          <w:lang w:val="en-US" w:eastAsia="zh-CN"/>
        </w:rPr>
        <w:t>潘集煤炭资源和特色农产品资源两大优势，培育壮大新能源、新材料、高端装备制造、绿色食品四个战略性新兴产业。</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一、巩固提升新能源产业</w:t>
      </w:r>
    </w:p>
    <w:p>
      <w:pPr>
        <w:bidi w:val="0"/>
        <w:rPr>
          <w:rFonts w:hint="default" w:ascii="Times New Roman" w:hAnsi="Times New Roman" w:cs="Times New Roman"/>
          <w:highlight w:val="yellow"/>
          <w:lang w:val="en-US" w:eastAsia="zh-CN"/>
        </w:rPr>
      </w:pPr>
      <w:r>
        <w:rPr>
          <w:rFonts w:hint="default" w:ascii="Times New Roman" w:hAnsi="Times New Roman" w:cs="Times New Roman"/>
          <w:lang w:val="en-US" w:eastAsia="zh-CN"/>
        </w:rPr>
        <w:t>重点推进新型储能、先进光伏、氢能</w:t>
      </w:r>
      <w:r>
        <w:rPr>
          <w:rFonts w:hint="default" w:cs="Times New Roman"/>
          <w:lang w:val="en-US" w:eastAsia="zh-CN"/>
        </w:rPr>
        <w:t>产业</w:t>
      </w:r>
      <w:r>
        <w:rPr>
          <w:rFonts w:hint="default" w:ascii="Times New Roman" w:hAnsi="Times New Roman" w:cs="Times New Roman"/>
          <w:lang w:val="en-US" w:eastAsia="zh-CN"/>
        </w:rPr>
        <w:t>发展。</w:t>
      </w:r>
      <w:r>
        <w:rPr>
          <w:rFonts w:hint="default" w:ascii="Times New Roman" w:hAnsi="Times New Roman" w:eastAsia="楷体_GB2312" w:cs="Times New Roman"/>
          <w:b/>
          <w:bCs/>
          <w:lang w:val="en-US" w:eastAsia="zh-CN"/>
        </w:rPr>
        <w:t>大力发展新型储能。</w:t>
      </w:r>
      <w:r>
        <w:rPr>
          <w:rFonts w:hint="default" w:ascii="Times New Roman" w:hAnsi="Times New Roman" w:cs="Times New Roman"/>
          <w:lang w:val="en-US" w:eastAsia="zh-CN"/>
        </w:rPr>
        <w:t>加快推进世嘉合利5GWh锂电池储能项目建设，持续加大储能锂电池及系统集成、关键零部件等领域的企业招引力度，配套建设储能电站建设及运营，探索发展高能量比、高可靠性的锂离子电池、钠离子电池</w:t>
      </w:r>
      <w:r>
        <w:rPr>
          <w:rFonts w:hint="default" w:cs="Times New Roman"/>
          <w:lang w:val="en-US" w:eastAsia="zh-CN"/>
        </w:rPr>
        <w:t>、</w:t>
      </w:r>
      <w:r>
        <w:rPr>
          <w:rFonts w:hint="default" w:ascii="Times New Roman" w:hAnsi="Times New Roman" w:cs="Times New Roman"/>
          <w:lang w:val="en-US" w:eastAsia="zh-CN"/>
        </w:rPr>
        <w:t>固态电池、</w:t>
      </w:r>
      <w:r>
        <w:rPr>
          <w:rFonts w:hint="default" w:cs="Times New Roman"/>
          <w:lang w:val="en-US" w:eastAsia="zh-CN"/>
        </w:rPr>
        <w:t>全</w:t>
      </w:r>
      <w:r>
        <w:rPr>
          <w:rFonts w:hint="default" w:ascii="Times New Roman" w:hAnsi="Times New Roman" w:cs="Times New Roman"/>
          <w:lang w:val="en-US" w:eastAsia="zh-CN"/>
        </w:rPr>
        <w:t>钒液流电池等前沿储能新技术</w:t>
      </w:r>
      <w:r>
        <w:rPr>
          <w:rFonts w:hint="default" w:cs="Times New Roman"/>
          <w:lang w:val="en-US" w:eastAsia="zh-CN"/>
        </w:rPr>
        <w:t>。</w:t>
      </w:r>
      <w:r>
        <w:rPr>
          <w:rFonts w:hint="default" w:ascii="Times New Roman" w:hAnsi="Times New Roman" w:eastAsia="楷体_GB2312" w:cs="Times New Roman"/>
          <w:b/>
          <w:bCs/>
          <w:lang w:val="en-US" w:eastAsia="zh-CN"/>
        </w:rPr>
        <w:t>推广先进光伏。</w:t>
      </w:r>
      <w:r>
        <w:rPr>
          <w:rFonts w:hint="default" w:ascii="Times New Roman" w:hAnsi="Times New Roman" w:cs="Times New Roman"/>
          <w:lang w:val="en-US" w:eastAsia="zh-CN"/>
        </w:rPr>
        <w:t>充分利用采煤煤矿沉陷区水域，继续推动建设光伏发电机组，促进光伏发电在新建建筑的安装利用，</w:t>
      </w:r>
      <w:r>
        <w:rPr>
          <w:rFonts w:hint="default" w:cs="Times New Roman"/>
          <w:lang w:val="en-US" w:eastAsia="zh-CN"/>
        </w:rPr>
        <w:t>创新“光伏+煤矿企业”“光伏+工业园区”“光伏+校园”“光伏+交通”等一批“光伏+”应用场景。</w:t>
      </w:r>
      <w:r>
        <w:rPr>
          <w:rFonts w:hint="default" w:ascii="Times New Roman" w:hAnsi="Times New Roman" w:eastAsia="楷体_GB2312" w:cs="Times New Roman"/>
          <w:b/>
          <w:bCs/>
          <w:lang w:val="en-US" w:eastAsia="zh-CN"/>
        </w:rPr>
        <w:t>鼓励发展氢能。</w:t>
      </w:r>
      <w:r>
        <w:rPr>
          <w:rFonts w:hint="default" w:ascii="Times New Roman" w:hAnsi="Times New Roman" w:cs="Times New Roman"/>
          <w:lang w:val="en-US" w:eastAsia="zh-CN"/>
        </w:rPr>
        <w:t>加强与申能集团、氢晨科技、浙江蓝能等龙头企业合作，推进氢能科技产业园项目落地投产</w:t>
      </w:r>
      <w:r>
        <w:rPr>
          <w:rFonts w:hint="default" w:cs="Times New Roman"/>
          <w:lang w:val="en-US" w:eastAsia="zh-CN"/>
        </w:rPr>
        <w:t>，</w:t>
      </w:r>
      <w:r>
        <w:rPr>
          <w:rFonts w:hint="default" w:ascii="Times New Roman" w:hAnsi="Times New Roman" w:cs="Times New Roman"/>
          <w:lang w:val="en-US" w:eastAsia="zh-CN"/>
        </w:rPr>
        <w:t>持续与吉利远程新能源对接</w:t>
      </w:r>
      <w:r>
        <w:rPr>
          <w:rFonts w:hint="default" w:ascii="Times New Roman" w:hAnsi="Times New Roman" w:cs="Times New Roman"/>
          <w:highlight w:val="none"/>
          <w:lang w:val="en-US" w:eastAsia="zh-CN"/>
        </w:rPr>
        <w:t>，新建一批加氢站、工业氢供应、高压氢气储存和液态氢气储存及相关配套设施，打造氢能源制充储运用示范区项目。</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二、延伸发展化工新材料</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以经开区（北区）为主阵地持续</w:t>
      </w:r>
      <w:r>
        <w:rPr>
          <w:rFonts w:hint="default" w:cs="Times New Roman"/>
          <w:lang w:val="en-US" w:eastAsia="zh-CN"/>
        </w:rPr>
        <w:t>深耕</w:t>
      </w:r>
      <w:r>
        <w:rPr>
          <w:rFonts w:hint="default" w:ascii="Times New Roman" w:hAnsi="Times New Roman" w:cs="Times New Roman"/>
          <w:lang w:val="en-US" w:eastAsia="zh-CN"/>
        </w:rPr>
        <w:t>精细化工</w:t>
      </w:r>
      <w:r>
        <w:rPr>
          <w:rFonts w:hint="default" w:cs="Times New Roman"/>
          <w:lang w:val="en-US" w:eastAsia="zh-CN"/>
        </w:rPr>
        <w:t>产业，</w:t>
      </w:r>
      <w:r>
        <w:rPr>
          <w:rFonts w:hint="default" w:ascii="Times New Roman" w:hAnsi="Times New Roman" w:cs="Times New Roman"/>
          <w:lang w:val="en-US" w:eastAsia="zh-CN"/>
        </w:rPr>
        <w:t>依托煤电资源优势，推动煤电副产品循环就近利用</w:t>
      </w:r>
      <w:r>
        <w:rPr>
          <w:rFonts w:hint="default" w:cs="Times New Roman"/>
          <w:lang w:val="en-US" w:eastAsia="zh-CN"/>
        </w:rPr>
        <w:t>，延伸</w:t>
      </w:r>
      <w:r>
        <w:rPr>
          <w:rFonts w:hint="default" w:ascii="Times New Roman" w:hAnsi="Times New Roman" w:cs="Times New Roman"/>
          <w:lang w:val="en-US" w:eastAsia="zh-CN"/>
        </w:rPr>
        <w:t>发展煤基新材料、煤基生物降解新材料等高端化工产品，积极发展超高分子量聚乙烯、现代高分子材料、聚苯乙烯等化工新材料</w:t>
      </w:r>
      <w:r>
        <w:rPr>
          <w:rFonts w:hint="default" w:cs="Times New Roman"/>
          <w:lang w:val="en-US" w:eastAsia="zh-CN"/>
        </w:rPr>
        <w:t>。围绕省市新能源汽车和新型储能电站布局需求，配套发展动力电池及储能电池材料，招引一批电池</w:t>
      </w:r>
      <w:r>
        <w:rPr>
          <w:rFonts w:hint="default" w:ascii="Times New Roman" w:hAnsi="Times New Roman" w:cs="Times New Roman"/>
          <w:lang w:val="en-US" w:eastAsia="zh-CN"/>
        </w:rPr>
        <w:t>材料</w:t>
      </w:r>
      <w:r>
        <w:rPr>
          <w:rFonts w:hint="default" w:cs="Times New Roman"/>
          <w:lang w:val="en-US" w:eastAsia="zh-CN"/>
        </w:rPr>
        <w:t>企业。</w:t>
      </w:r>
      <w:r>
        <w:rPr>
          <w:rFonts w:hint="default" w:ascii="Times New Roman" w:hAnsi="Times New Roman" w:cs="Times New Roman"/>
          <w:lang w:val="en-US" w:eastAsia="zh-CN"/>
        </w:rPr>
        <w:t>谋划布局废旧动力电池</w:t>
      </w:r>
      <w:r>
        <w:rPr>
          <w:rFonts w:hint="default" w:cs="Times New Roman"/>
          <w:lang w:val="en-US" w:eastAsia="zh-CN"/>
        </w:rPr>
        <w:t>回收利用，</w:t>
      </w:r>
      <w:r>
        <w:rPr>
          <w:rFonts w:hint="default" w:ascii="Times New Roman" w:hAnsi="Times New Roman" w:cs="Times New Roman"/>
          <w:lang w:val="en-US" w:eastAsia="zh-CN"/>
        </w:rPr>
        <w:t>加速新众诺锂电池材料项目落地投产，</w:t>
      </w:r>
      <w:r>
        <w:rPr>
          <w:rFonts w:hint="default" w:cs="Times New Roman"/>
          <w:lang w:val="en-US" w:eastAsia="zh-CN"/>
        </w:rPr>
        <w:t>构建动力电池闭环系统，推动资源循环利用。紧抓钠离子电池全面商业化的发展机遇，积极</w:t>
      </w:r>
      <w:r>
        <w:rPr>
          <w:rFonts w:hint="default" w:ascii="Times New Roman" w:hAnsi="Times New Roman" w:cs="Times New Roman"/>
          <w:lang w:val="en-US" w:eastAsia="zh-CN"/>
        </w:rPr>
        <w:t>推进钠壹新能源年产1万吨钠离子电池材料项目落地投产。</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三、发力高端装备制造</w:t>
      </w:r>
    </w:p>
    <w:p>
      <w:pPr>
        <w:bidi w:val="0"/>
        <w:rPr>
          <w:rFonts w:hint="default" w:ascii="Times New Roman" w:hAnsi="Times New Roman" w:cs="Times New Roman"/>
          <w:lang w:val="en-US" w:eastAsia="zh-CN"/>
        </w:rPr>
      </w:pPr>
      <w:r>
        <w:rPr>
          <w:rFonts w:hint="default" w:cs="Times New Roman"/>
          <w:lang w:val="en-US" w:eastAsia="zh-CN"/>
        </w:rPr>
        <w:t>全面融入淮南市新能源汽车产业集群</w:t>
      </w:r>
      <w:r>
        <w:rPr>
          <w:rFonts w:hint="default" w:ascii="Times New Roman" w:hAnsi="Times New Roman" w:cs="Times New Roman"/>
          <w:lang w:val="en-US" w:eastAsia="zh-CN"/>
        </w:rPr>
        <w:t>，配套发展新能源汽车零部件，</w:t>
      </w:r>
      <w:r>
        <w:rPr>
          <w:rFonts w:hint="default" w:cs="Times New Roman"/>
          <w:lang w:val="en-US" w:eastAsia="zh-CN"/>
        </w:rPr>
        <w:t>重点招引内外饰件、底盘车身、汽车电子产品等领域企业，</w:t>
      </w:r>
      <w:r>
        <w:rPr>
          <w:rFonts w:hint="default" w:ascii="Times New Roman" w:hAnsi="Times New Roman" w:cs="Times New Roman"/>
          <w:lang w:val="en-US" w:eastAsia="zh-CN"/>
        </w:rPr>
        <w:t>推进锐信电子新能源汽车线束及特种线缆项目建成投产。</w:t>
      </w:r>
      <w:r>
        <w:rPr>
          <w:rFonts w:hint="default" w:cs="Times New Roman"/>
          <w:lang w:val="en-US" w:eastAsia="zh-CN"/>
        </w:rPr>
        <w:t>大力发展新型电力装备，加大对高端电缆导体生产制造项目等拟开工项目的跟踪服务力度，紧盯项目招引，积极洽谈良源高端装备产业园、电缆辅料生产等项目，支持电力装备产业数字化转型，推进新型电力系统建设。</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四、</w:t>
      </w:r>
      <w:r>
        <w:rPr>
          <w:rFonts w:hint="default" w:cs="Times New Roman"/>
          <w:highlight w:val="none"/>
          <w:lang w:val="en-US" w:eastAsia="zh-CN"/>
        </w:rPr>
        <w:t>扩能提质</w:t>
      </w:r>
      <w:r>
        <w:rPr>
          <w:rFonts w:hint="default" w:ascii="Times New Roman" w:hAnsi="Times New Roman" w:cs="Times New Roman"/>
          <w:lang w:val="en-US" w:eastAsia="zh-CN"/>
        </w:rPr>
        <w:t>绿色食品</w:t>
      </w:r>
    </w:p>
    <w:p>
      <w:pPr>
        <w:rPr>
          <w:rFonts w:hint="default" w:ascii="Times New Roman" w:hAnsi="Times New Roman" w:cs="Times New Roman"/>
          <w:lang w:val="en-US" w:eastAsia="zh-CN"/>
        </w:rPr>
      </w:pPr>
      <w:r>
        <w:rPr>
          <w:rFonts w:hint="default" w:ascii="Times New Roman" w:hAnsi="Times New Roman" w:cs="Times New Roman"/>
          <w:lang w:val="en-US" w:eastAsia="zh-CN"/>
        </w:rPr>
        <w:t>立足全区</w:t>
      </w:r>
      <w:r>
        <w:rPr>
          <w:rFonts w:hint="default" w:cs="Times New Roman"/>
          <w:lang w:val="en-US" w:eastAsia="zh-CN"/>
        </w:rPr>
        <w:t>“店集贡米”“潘集酥瓜”等绿色</w:t>
      </w:r>
      <w:r>
        <w:rPr>
          <w:rFonts w:hint="default" w:ascii="Times New Roman" w:hAnsi="Times New Roman" w:cs="Times New Roman"/>
          <w:lang w:val="en-US" w:eastAsia="zh-CN"/>
        </w:rPr>
        <w:t>优质原料</w:t>
      </w:r>
      <w:r>
        <w:rPr>
          <w:rFonts w:hint="default" w:cs="Times New Roman"/>
          <w:lang w:val="en-US" w:eastAsia="zh-CN"/>
        </w:rPr>
        <w:t>资源</w:t>
      </w:r>
      <w:r>
        <w:rPr>
          <w:rFonts w:hint="default" w:ascii="Times New Roman" w:hAnsi="Times New Roman" w:cs="Times New Roman"/>
          <w:lang w:val="en-US" w:eastAsia="zh-CN"/>
        </w:rPr>
        <w:t>禀赋，</w:t>
      </w:r>
      <w:r>
        <w:rPr>
          <w:rFonts w:hint="default" w:cs="Times New Roman"/>
          <w:lang w:val="en-US" w:eastAsia="zh-CN"/>
        </w:rPr>
        <w:t>整合区域现有农产品加工产业基础，</w:t>
      </w:r>
      <w:r>
        <w:rPr>
          <w:rFonts w:hint="default" w:ascii="Times New Roman" w:hAnsi="Times New Roman" w:cs="Times New Roman"/>
          <w:lang w:val="en-US" w:eastAsia="zh-CN"/>
        </w:rPr>
        <w:t>重点发展优质粮加工、豆制品精深加工、</w:t>
      </w:r>
      <w:r>
        <w:rPr>
          <w:rFonts w:hint="default" w:cs="Times New Roman"/>
          <w:lang w:val="en-US" w:eastAsia="zh-CN"/>
        </w:rPr>
        <w:t>绿色果蔬、</w:t>
      </w:r>
      <w:r>
        <w:rPr>
          <w:rFonts w:hint="default" w:ascii="Times New Roman" w:hAnsi="Times New Roman" w:cs="Times New Roman"/>
          <w:lang w:val="en-US" w:eastAsia="zh-CN"/>
        </w:rPr>
        <w:t>预制</w:t>
      </w:r>
      <w:r>
        <w:rPr>
          <w:rFonts w:hint="default" w:cs="Times New Roman"/>
          <w:lang w:val="en-US" w:eastAsia="zh-CN"/>
        </w:rPr>
        <w:t>食品</w:t>
      </w:r>
      <w:r>
        <w:rPr>
          <w:rFonts w:hint="default" w:ascii="Times New Roman" w:hAnsi="Times New Roman" w:cs="Times New Roman"/>
          <w:lang w:val="en-US" w:eastAsia="zh-CN"/>
        </w:rPr>
        <w:t>、休闲食品</w:t>
      </w:r>
      <w:r>
        <w:rPr>
          <w:rFonts w:hint="default" w:cs="Times New Roman"/>
          <w:lang w:val="en-US" w:eastAsia="zh-CN"/>
        </w:rPr>
        <w:t>等，全力融入淮南市绿色食品产业“一区三园多基地”的发展新格局</w:t>
      </w:r>
      <w:r>
        <w:rPr>
          <w:rFonts w:hint="default" w:ascii="Times New Roman" w:hAnsi="Times New Roman" w:cs="Times New Roman"/>
          <w:lang w:val="en-US" w:eastAsia="zh-CN"/>
        </w:rPr>
        <w:t>。</w:t>
      </w:r>
      <w:r>
        <w:rPr>
          <w:rFonts w:hint="default" w:cs="Times New Roman"/>
          <w:lang w:val="en-US" w:eastAsia="zh-CN"/>
        </w:rPr>
        <w:t>优质粮加工以</w:t>
      </w:r>
      <w:r>
        <w:rPr>
          <w:rFonts w:hint="default" w:ascii="Times New Roman" w:hAnsi="Times New Roman" w:cs="Times New Roman"/>
          <w:lang w:val="en-US" w:eastAsia="zh-CN"/>
        </w:rPr>
        <w:t>水稻、小麦等优质农产品</w:t>
      </w:r>
      <w:r>
        <w:rPr>
          <w:rFonts w:hint="default" w:cs="Times New Roman"/>
          <w:lang w:val="en-US" w:eastAsia="zh-CN"/>
        </w:rPr>
        <w:t>为基础，开发营养均衡、养生保健的新型主食加工产业。绿色果蔬重点以潘集酥瓜为切入点，强化品种选育，打造标准化、规模化的种植基地，重点发展精品水果、鲜切果蔬等高端产品。持续推进豆制品加工，高标准建设潘集豆制品产业园，重点布局豆腐、腐竹、响铃卷规模化的鲜制豆制品加工以及豆渣饼干等豆制品综合利用精深加工业，延伸拓展休闲豆制品。持续推进潘集区食品加工产业园建设，招引一批预制食品、休闲食品加工企业，培育一批绿色食品品牌，持续完善配套冷链物流系统及仓储基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5"/>
              <w:bidi w:val="0"/>
              <w:rPr>
                <w:rFonts w:hint="default" w:ascii="Times New Roman" w:hAnsi="Times New Roman" w:eastAsia="楷体_GB2312" w:cs="Times New Roman"/>
                <w:szCs w:val="28"/>
                <w:vertAlign w:val="baseline"/>
                <w:lang w:val="en-US" w:eastAsia="zh-CN"/>
              </w:rPr>
            </w:pPr>
            <w:bookmarkStart w:id="77" w:name="_Toc4060"/>
            <w:r>
              <w:rPr>
                <w:rFonts w:hint="default"/>
                <w:lang w:val="en-US" w:eastAsia="zh-CN"/>
              </w:rPr>
              <w:t>专栏1 战略性新兴产业重点项目</w:t>
            </w:r>
            <w:bookmarkEnd w:id="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bidi w:val="0"/>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b/>
                <w:bCs/>
                <w:sz w:val="28"/>
                <w:szCs w:val="28"/>
                <w:vertAlign w:val="baseline"/>
                <w:lang w:val="en-US" w:eastAsia="zh-CN"/>
              </w:rPr>
              <w:t>新能源项目</w:t>
            </w:r>
            <w:r>
              <w:rPr>
                <w:rFonts w:hint="default" w:ascii="Times New Roman" w:hAnsi="Times New Roman" w:eastAsia="楷体_GB2312" w:cs="Times New Roman"/>
                <w:sz w:val="28"/>
                <w:szCs w:val="28"/>
                <w:vertAlign w:val="baseline"/>
                <w:lang w:val="en-US" w:eastAsia="zh-CN"/>
              </w:rPr>
              <w:t>。</w:t>
            </w:r>
            <w:r>
              <w:rPr>
                <w:rFonts w:hint="default" w:ascii="Times New Roman" w:hAnsi="Times New Roman" w:eastAsia="仿宋_GB2312" w:cs="Times New Roman"/>
                <w:sz w:val="28"/>
                <w:szCs w:val="28"/>
                <w:vertAlign w:val="baseline"/>
                <w:lang w:val="en-US" w:eastAsia="zh-CN"/>
              </w:rPr>
              <w:t>新能源汽车充换电设备制造项目</w:t>
            </w:r>
            <w:r>
              <w:rPr>
                <w:rFonts w:hint="default" w:ascii="Times New Roman" w:hAnsi="Times New Roman" w:cs="Times New Roman"/>
                <w:sz w:val="28"/>
                <w:szCs w:val="28"/>
                <w:vertAlign w:val="baseline"/>
                <w:lang w:val="en-US" w:eastAsia="zh-CN"/>
              </w:rPr>
              <w:t>、淮南市新能源智联物流</w:t>
            </w:r>
            <w:r>
              <w:rPr>
                <w:rFonts w:hint="default" w:cs="Times New Roman"/>
                <w:sz w:val="28"/>
                <w:szCs w:val="28"/>
                <w:vertAlign w:val="baseline"/>
                <w:lang w:val="en-US" w:eastAsia="zh-CN"/>
              </w:rPr>
              <w:t>项目</w:t>
            </w:r>
            <w:r>
              <w:rPr>
                <w:rFonts w:hint="default" w:ascii="Times New Roman" w:hAnsi="Times New Roman" w:cs="Times New Roman"/>
                <w:sz w:val="28"/>
                <w:szCs w:val="28"/>
                <w:vertAlign w:val="baseline"/>
                <w:lang w:val="en-US" w:eastAsia="zh-CN"/>
              </w:rPr>
              <w:t>、安徽新众诺能源发展有限公司新能源锂电池材料综合利用项目、申能（集团）有限公司氢能科技产业园项目、浙江吉利氢能源制充储运用示范区项目、潘集绿色循环经济产业园。</w:t>
            </w:r>
          </w:p>
          <w:p>
            <w:pPr>
              <w:bidi w:val="0"/>
              <w:rPr>
                <w:rFonts w:hint="default" w:ascii="Times New Roman" w:hAnsi="Times New Roman" w:cs="Times New Roman"/>
                <w:lang w:val="en-US" w:eastAsia="zh-CN"/>
              </w:rPr>
            </w:pPr>
            <w:r>
              <w:rPr>
                <w:rFonts w:hint="default" w:ascii="Times New Roman" w:hAnsi="Times New Roman" w:eastAsia="仿宋_GB2312" w:cs="Times New Roman"/>
                <w:b/>
                <w:bCs/>
                <w:sz w:val="28"/>
                <w:szCs w:val="28"/>
                <w:vertAlign w:val="baseline"/>
                <w:lang w:val="en-US" w:eastAsia="zh-CN"/>
              </w:rPr>
              <w:t>化工新材料项目</w:t>
            </w:r>
            <w:r>
              <w:rPr>
                <w:rFonts w:hint="default" w:ascii="Times New Roman" w:hAnsi="Times New Roman" w:eastAsia="楷体_GB2312" w:cs="Times New Roman"/>
                <w:sz w:val="28"/>
                <w:szCs w:val="28"/>
                <w:vertAlign w:val="baseline"/>
                <w:lang w:val="en-US" w:eastAsia="zh-CN"/>
              </w:rPr>
              <w:t>。</w:t>
            </w:r>
            <w:r>
              <w:rPr>
                <w:rFonts w:hint="default" w:ascii="Times New Roman" w:hAnsi="Times New Roman" w:cs="Times New Roman"/>
                <w:sz w:val="28"/>
                <w:szCs w:val="28"/>
                <w:vertAlign w:val="baseline"/>
                <w:lang w:val="en-US" w:eastAsia="zh-CN"/>
              </w:rPr>
              <w:t>科昂新材料科技有限公司粉煤灰高效全量化综合利用项目（一期）、广东钠壹新能源科技有限公司年产1万吨钠离子电池材料项目、10万吨再生铜资源综合利用及高端无氧铜基材料项目。</w:t>
            </w:r>
          </w:p>
          <w:p>
            <w:pPr>
              <w:bidi w:val="0"/>
              <w:rPr>
                <w:rFonts w:hint="default" w:ascii="Times New Roman" w:hAnsi="Times New Roman" w:cs="Times New Roman"/>
                <w:b w:val="0"/>
                <w:bCs w:val="0"/>
                <w:sz w:val="28"/>
                <w:szCs w:val="28"/>
                <w:lang w:val="en-US" w:eastAsia="zh-CN"/>
              </w:rPr>
            </w:pPr>
            <w:r>
              <w:rPr>
                <w:rFonts w:hint="default" w:ascii="Times New Roman" w:hAnsi="Times New Roman" w:cs="Times New Roman"/>
                <w:b/>
                <w:bCs/>
                <w:sz w:val="28"/>
                <w:szCs w:val="28"/>
                <w:lang w:val="en-US" w:eastAsia="zh-CN"/>
              </w:rPr>
              <w:t>高端装备制造项目。</w:t>
            </w:r>
            <w:r>
              <w:rPr>
                <w:rFonts w:hint="default" w:ascii="Times New Roman" w:hAnsi="Times New Roman" w:cs="Times New Roman"/>
                <w:b w:val="0"/>
                <w:bCs w:val="0"/>
                <w:sz w:val="28"/>
                <w:szCs w:val="28"/>
                <w:lang w:val="en-US" w:eastAsia="zh-CN"/>
              </w:rPr>
              <w:t>安徽良源高端装备创新智造产业园项目、淮南昶德机械设备有限公司年产2万套机械配套件项目、新能源汽车线束及特种线缆项目。</w:t>
            </w:r>
          </w:p>
          <w:p>
            <w:pPr>
              <w:bidi w:val="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绿色食品项目</w:t>
            </w:r>
            <w:r>
              <w:rPr>
                <w:rFonts w:hint="default" w:ascii="Times New Roman" w:hAnsi="Times New Roman" w:cs="Times New Roman"/>
                <w:sz w:val="28"/>
                <w:szCs w:val="28"/>
                <w:lang w:val="en-US" w:eastAsia="zh-CN"/>
              </w:rPr>
              <w:t>。淮南牛肉汤高品质肉牛供应基地项目、淮南市潘集区食品加工产业园建设项目、5万亩潘集酥瓜品牌基地建设项目、20万亩“店集贡米”产业化项目、潘集区“秸秆变肉”暨肉牛产业振兴基础设施项目、江淮粮食产业园</w:t>
            </w:r>
            <w:r>
              <w:rPr>
                <w:rFonts w:hint="default" w:cs="Times New Roman"/>
                <w:sz w:val="28"/>
                <w:szCs w:val="28"/>
                <w:lang w:val="en-US" w:eastAsia="zh-CN"/>
              </w:rPr>
              <w:t>。</w:t>
            </w:r>
          </w:p>
        </w:tc>
      </w:tr>
    </w:tbl>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color w:val="auto"/>
          <w:lang w:val="en-US" w:eastAsia="zh-CN"/>
        </w:rPr>
      </w:pPr>
      <w:bookmarkStart w:id="78" w:name="_Toc1711"/>
      <w:r>
        <w:rPr>
          <w:rFonts w:hint="default" w:ascii="Times New Roman" w:hAnsi="Times New Roman" w:eastAsia="黑体" w:cs="Times New Roman"/>
          <w:b w:val="0"/>
          <w:bCs/>
          <w:color w:val="auto"/>
          <w:lang w:val="en-US" w:eastAsia="zh-CN"/>
        </w:rPr>
        <w:t>第三节 前瞻布局未来产业</w:t>
      </w:r>
      <w:bookmarkEnd w:id="78"/>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充分衔接淮南市聚力打造低碳能源、生命科学、低空经济、人工智能4个未来产业，</w:t>
      </w:r>
      <w:r>
        <w:rPr>
          <w:rFonts w:hint="default" w:cs="Times New Roman"/>
          <w:lang w:val="en-US" w:eastAsia="zh-CN"/>
        </w:rPr>
        <w:t>依托潘集</w:t>
      </w:r>
      <w:r>
        <w:rPr>
          <w:rFonts w:hint="default" w:ascii="Times New Roman" w:hAnsi="Times New Roman" w:cs="Times New Roman"/>
          <w:lang w:val="en-US" w:eastAsia="zh-CN"/>
        </w:rPr>
        <w:t>能源、精细化工、特色农产品资源优势，前瞻布局低碳能源、低空经济、生物制造三大未来产业新赛道</w:t>
      </w:r>
      <w:r>
        <w:rPr>
          <w:rFonts w:hint="default" w:cs="Times New Roman"/>
          <w:lang w:val="en-US" w:eastAsia="zh-CN"/>
        </w:rPr>
        <w:t>，实施未来产业培育壮大工程</w:t>
      </w:r>
      <w:r>
        <w:rPr>
          <w:rFonts w:hint="default" w:ascii="Times New Roman" w:hAnsi="Times New Roman" w:cs="Times New Roman"/>
          <w:lang w:val="en-US" w:eastAsia="zh-CN"/>
        </w:rPr>
        <w:t>。</w:t>
      </w:r>
      <w:r>
        <w:rPr>
          <w:rFonts w:hint="default" w:ascii="Times New Roman" w:hAnsi="Times New Roman" w:cs="Times New Roman"/>
          <w:highlight w:val="none"/>
          <w:lang w:val="en-US" w:eastAsia="zh-CN"/>
        </w:rPr>
        <w:t>低碳能源</w:t>
      </w:r>
      <w:r>
        <w:rPr>
          <w:rFonts w:hint="default" w:cs="Times New Roman"/>
          <w:highlight w:val="none"/>
          <w:lang w:val="en-US" w:eastAsia="zh-CN"/>
        </w:rPr>
        <w:t>领域，布局</w:t>
      </w:r>
      <w:r>
        <w:rPr>
          <w:rFonts w:hint="default" w:ascii="Times New Roman" w:hAnsi="Times New Roman" w:cs="Times New Roman"/>
          <w:highlight w:val="none"/>
          <w:lang w:val="en-US" w:eastAsia="zh-CN"/>
        </w:rPr>
        <w:t>碳捕集、利用与封存技术</w:t>
      </w:r>
      <w:r>
        <w:rPr>
          <w:rFonts w:hint="default" w:cs="Times New Roman"/>
          <w:highlight w:val="none"/>
          <w:lang w:val="en-US" w:eastAsia="zh-CN"/>
        </w:rPr>
        <w:t>、新一代氢能材料及储能材料，加速构建新型能源体系</w:t>
      </w:r>
      <w:r>
        <w:rPr>
          <w:rFonts w:hint="default" w:ascii="Times New Roman" w:hAnsi="Times New Roman" w:cs="Times New Roman"/>
          <w:highlight w:val="none"/>
          <w:lang w:val="en-US" w:eastAsia="zh-CN"/>
        </w:rPr>
        <w:t>。低空经济</w:t>
      </w:r>
      <w:r>
        <w:rPr>
          <w:rFonts w:hint="default" w:cs="Times New Roman"/>
          <w:highlight w:val="none"/>
          <w:lang w:val="en-US" w:eastAsia="zh-CN"/>
        </w:rPr>
        <w:t>领域，加快建设</w:t>
      </w:r>
      <w:r>
        <w:rPr>
          <w:rFonts w:hint="default" w:ascii="Times New Roman" w:hAnsi="Times New Roman" w:cs="Times New Roman"/>
          <w:highlight w:val="none"/>
          <w:lang w:val="en-US" w:eastAsia="zh-CN"/>
        </w:rPr>
        <w:t>潘集区通用机场，积极谋划开发低空特色场景，有序开展政务服务、物流配送、电力及河湖巡检、国土测绘、应急救援、农林植保、生态治理、航空文旅等低空应用场景试点试验，依托淮河湾低空飞行营地项目开展航空知识科普、飞行器参观等航空研学服务。生物制造</w:t>
      </w:r>
      <w:r>
        <w:rPr>
          <w:rFonts w:hint="default" w:cs="Times New Roman"/>
          <w:highlight w:val="none"/>
          <w:lang w:val="en-US" w:eastAsia="zh-CN"/>
        </w:rPr>
        <w:t>领域，充分利用生物质资源生产高值产品，打造替代化石基的生物制造产业集群，布局生物化工、生物材料、生物食品、生物能源</w:t>
      </w:r>
      <w:r>
        <w:rPr>
          <w:rFonts w:hint="default" w:ascii="Times New Roman" w:hAnsi="Times New Roman" w:cs="Times New Roman"/>
          <w:lang w:val="en-US" w:eastAsia="zh-CN"/>
        </w:rPr>
        <w:t>。建立未来产业投入增长机制和专业化协同推进机制，配合市煤化工园区建设</w:t>
      </w:r>
      <w:r>
        <w:rPr>
          <w:rFonts w:hint="default" w:cs="Times New Roman"/>
          <w:lang w:val="en-US" w:eastAsia="zh-CN"/>
        </w:rPr>
        <w:t>省级</w:t>
      </w:r>
      <w:r>
        <w:rPr>
          <w:rFonts w:hint="default" w:ascii="Times New Roman" w:hAnsi="Times New Roman" w:cs="Times New Roman"/>
          <w:lang w:val="en-US" w:eastAsia="zh-CN"/>
        </w:rPr>
        <w:t>低碳能源未来产业先导区</w:t>
      </w:r>
      <w:r>
        <w:rPr>
          <w:rFonts w:hint="default" w:cs="Times New Roman"/>
          <w:lang w:val="en-US" w:eastAsia="zh-CN"/>
        </w:rPr>
        <w:t>申报工作</w:t>
      </w:r>
      <w:r>
        <w:rPr>
          <w:rFonts w:hint="default" w:ascii="Times New Roman" w:hAnsi="Times New Roman" w:cs="Times New Roman"/>
          <w:lang w:val="en-US" w:eastAsia="zh-CN"/>
        </w:rPr>
        <w:t>，构建技术产品化、产品产业化、产业规模化的未来产业发展生态。</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color w:val="auto"/>
          <w:lang w:val="en-US" w:eastAsia="zh-CN"/>
        </w:rPr>
      </w:pPr>
      <w:bookmarkStart w:id="79" w:name="_Toc11231"/>
      <w:r>
        <w:rPr>
          <w:rFonts w:hint="default" w:ascii="Times New Roman" w:hAnsi="Times New Roman" w:eastAsia="黑体" w:cs="Times New Roman"/>
          <w:b w:val="0"/>
          <w:bCs/>
          <w:color w:val="auto"/>
          <w:lang w:val="en-US" w:eastAsia="zh-CN"/>
        </w:rPr>
        <w:t xml:space="preserve">第四节 </w:t>
      </w:r>
      <w:r>
        <w:rPr>
          <w:rFonts w:hint="eastAsia" w:eastAsia="黑体" w:cs="Times New Roman"/>
          <w:b w:val="0"/>
          <w:bCs/>
          <w:color w:val="auto"/>
          <w:lang w:val="en-US" w:eastAsia="zh-CN"/>
        </w:rPr>
        <w:t>积极发展</w:t>
      </w:r>
      <w:r>
        <w:rPr>
          <w:rFonts w:hint="default" w:ascii="Times New Roman" w:hAnsi="Times New Roman" w:eastAsia="黑体" w:cs="Times New Roman"/>
          <w:b w:val="0"/>
          <w:bCs/>
          <w:color w:val="auto"/>
          <w:lang w:val="en-US" w:eastAsia="zh-CN"/>
        </w:rPr>
        <w:t>现代服务业</w:t>
      </w:r>
      <w:bookmarkEnd w:id="79"/>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一、以高端化生产性服务业赋能工业发展</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楷体_GB2312" w:cs="Times New Roman"/>
          <w:b/>
          <w:bCs/>
          <w:highlight w:val="none"/>
          <w:lang w:val="en-US" w:eastAsia="zh-CN"/>
        </w:rPr>
      </w:pPr>
      <w:r>
        <w:rPr>
          <w:rFonts w:hint="default" w:ascii="Times New Roman" w:hAnsi="Times New Roman" w:cs="Times New Roman"/>
          <w:highlight w:val="none"/>
          <w:lang w:val="en-US" w:eastAsia="zh-CN"/>
        </w:rPr>
        <w:t>围绕传统产业转型和新兴产业培育壮大需求，</w:t>
      </w:r>
      <w:r>
        <w:rPr>
          <w:rFonts w:hint="default" w:cs="Times New Roman"/>
          <w:highlight w:val="none"/>
          <w:lang w:val="en-US" w:eastAsia="zh-CN"/>
        </w:rPr>
        <w:t>大力发展现代物流、科技服务、电子商务、金融服务等，支持数字经济建设，发展信息服务，</w:t>
      </w:r>
      <w:r>
        <w:rPr>
          <w:rFonts w:hint="default" w:ascii="Times New Roman" w:hAnsi="Times New Roman" w:cs="Times New Roman"/>
          <w:highlight w:val="none"/>
          <w:lang w:val="en-US" w:eastAsia="zh-CN"/>
        </w:rPr>
        <w:t>推动生产性服务业向专业化和价值链高端延伸，完善支持</w:t>
      </w:r>
      <w:r>
        <w:rPr>
          <w:rFonts w:hint="default" w:cs="Times New Roman"/>
          <w:highlight w:val="none"/>
          <w:lang w:val="en-US" w:eastAsia="zh-CN"/>
        </w:rPr>
        <w:t>生产性</w:t>
      </w:r>
      <w:r>
        <w:rPr>
          <w:rFonts w:hint="default" w:ascii="Times New Roman" w:hAnsi="Times New Roman" w:cs="Times New Roman"/>
          <w:highlight w:val="none"/>
          <w:lang w:val="en-US" w:eastAsia="zh-CN"/>
        </w:rPr>
        <w:t>服务业发展政策体系，培育优质市场主体，加强技术创新、业态创新、模式创新。</w:t>
      </w:r>
    </w:p>
    <w:p>
      <w:pPr>
        <w:bidi w:val="0"/>
        <w:rPr>
          <w:rFonts w:hint="default" w:ascii="Times New Roman" w:hAnsi="Times New Roman" w:cs="Times New Roman"/>
          <w:lang w:val="en-US" w:eastAsia="zh-CN"/>
        </w:rPr>
      </w:pPr>
      <w:r>
        <w:rPr>
          <w:rFonts w:hint="default" w:ascii="Times New Roman" w:hAnsi="Times New Roman" w:eastAsia="楷体_GB2312" w:cs="Times New Roman"/>
          <w:b/>
          <w:bCs/>
          <w:lang w:val="en-US" w:eastAsia="zh-CN"/>
        </w:rPr>
        <w:t>现代物流。</w:t>
      </w:r>
      <w:r>
        <w:rPr>
          <w:rFonts w:hint="default" w:ascii="Times New Roman" w:hAnsi="Times New Roman" w:cs="Times New Roman"/>
          <w:lang w:val="en-US" w:eastAsia="zh-CN"/>
        </w:rPr>
        <w:t>整合现有资源，打造物流集聚区，协同推进</w:t>
      </w:r>
      <w:r>
        <w:rPr>
          <w:rFonts w:hint="default" w:cs="Times New Roman"/>
          <w:lang w:val="en-US" w:eastAsia="zh-CN"/>
        </w:rPr>
        <w:t>粮食、煤炭等大宗货物物流、制造业物流</w:t>
      </w:r>
      <w:r>
        <w:rPr>
          <w:rFonts w:hint="default" w:ascii="Times New Roman" w:hAnsi="Times New Roman" w:cs="Times New Roman"/>
          <w:lang w:val="en-US" w:eastAsia="zh-CN"/>
        </w:rPr>
        <w:t>、农产品冷链物流、供应链服务平台等物流行业高质量发展，依托工业园区、铁路专用线、高速出入口等，建设一批现代化、国际化物流园区</w:t>
      </w:r>
      <w:r>
        <w:rPr>
          <w:rFonts w:hint="default" w:cs="Times New Roman"/>
          <w:lang w:val="en-US" w:eastAsia="zh-CN"/>
        </w:rPr>
        <w:t>。</w:t>
      </w:r>
      <w:r>
        <w:rPr>
          <w:rFonts w:hint="default" w:ascii="Times New Roman" w:hAnsi="Times New Roman" w:cs="Times New Roman"/>
          <w:lang w:val="en-US" w:eastAsia="zh-CN"/>
        </w:rPr>
        <w:t>加快推进淮南港皖江物流综合码头工程、</w:t>
      </w:r>
      <w:r>
        <w:rPr>
          <w:rFonts w:hint="default" w:ascii="Times New Roman" w:hAnsi="Times New Roman" w:cs="Times New Roman"/>
          <w:highlight w:val="none"/>
          <w:lang w:val="en-US" w:eastAsia="zh-CN"/>
        </w:rPr>
        <w:t>平圩电厂综合码头工程</w:t>
      </w:r>
      <w:r>
        <w:rPr>
          <w:rFonts w:hint="default" w:ascii="Times New Roman" w:hAnsi="Times New Roman" w:cs="Times New Roman"/>
          <w:lang w:val="en-US" w:eastAsia="zh-CN"/>
        </w:rPr>
        <w:t>、</w:t>
      </w:r>
      <w:r>
        <w:rPr>
          <w:rFonts w:hint="default" w:cs="Times New Roman"/>
          <w:lang w:val="en-US" w:eastAsia="zh-CN"/>
        </w:rPr>
        <w:t>潘集冷链物流园</w:t>
      </w:r>
      <w:r>
        <w:rPr>
          <w:rFonts w:hint="default" w:ascii="Times New Roman" w:hAnsi="Times New Roman" w:cs="Times New Roman"/>
          <w:lang w:val="en-US" w:eastAsia="zh-CN"/>
        </w:rPr>
        <w:t>等项目建设。支持有条件的物流园区争创省级物流园区、冷链物流基地和冷链集配中心</w:t>
      </w:r>
      <w:r>
        <w:rPr>
          <w:rFonts w:hint="default" w:cs="Times New Roman"/>
          <w:lang w:val="en-US" w:eastAsia="zh-CN"/>
        </w:rPr>
        <w:t>，大力招引一批具有竞争力的5A、4A、3A级以上的物流企业。</w:t>
      </w:r>
    </w:p>
    <w:p>
      <w:pPr>
        <w:bidi w:val="0"/>
        <w:rPr>
          <w:rFonts w:hint="default" w:ascii="Times New Roman" w:hAnsi="Times New Roman" w:cs="Times New Roman"/>
          <w:lang w:val="en-US" w:eastAsia="zh-CN"/>
        </w:rPr>
      </w:pPr>
      <w:r>
        <w:rPr>
          <w:rFonts w:hint="default" w:ascii="Times New Roman" w:hAnsi="Times New Roman" w:eastAsia="楷体_GB2312" w:cs="Times New Roman"/>
          <w:b/>
          <w:bCs/>
          <w:lang w:val="en-US" w:eastAsia="zh-CN"/>
        </w:rPr>
        <w:t>科技服务。</w:t>
      </w:r>
      <w:r>
        <w:rPr>
          <w:rFonts w:hint="default" w:ascii="Times New Roman" w:hAnsi="Times New Roman" w:cs="Times New Roman"/>
          <w:lang w:val="en-US" w:eastAsia="zh-CN"/>
        </w:rPr>
        <w:t>围绕新能源、新材料、高端装备制造发展需求，重点发展研究开发、技术转移、检验检测认证、创业孵化、知识产权、科技咨询、科技金融、科学技术普及等专业科技服务和综合科技服务</w:t>
      </w:r>
      <w:r>
        <w:rPr>
          <w:rFonts w:hint="default" w:cs="Times New Roman"/>
          <w:lang w:val="en-US" w:eastAsia="zh-CN"/>
        </w:rPr>
        <w:t>，</w:t>
      </w:r>
      <w:r>
        <w:rPr>
          <w:rFonts w:hint="default" w:ascii="Times New Roman" w:hAnsi="Times New Roman" w:cs="Times New Roman"/>
          <w:lang w:val="en-US" w:eastAsia="zh-CN"/>
        </w:rPr>
        <w:t>培育一批市场化新型研发组织、研发中介和研发外包服务，构建“设、研、产、销”综合设计服务生态体系。</w:t>
      </w:r>
    </w:p>
    <w:p>
      <w:pPr>
        <w:bidi w:val="0"/>
        <w:rPr>
          <w:rFonts w:hint="default" w:ascii="Times New Roman" w:hAnsi="Times New Roman" w:cs="Times New Roman"/>
          <w:lang w:val="en-US" w:eastAsia="zh-CN"/>
        </w:rPr>
      </w:pPr>
      <w:r>
        <w:rPr>
          <w:rFonts w:hint="default" w:ascii="Times New Roman" w:hAnsi="Times New Roman" w:eastAsia="楷体_GB2312" w:cs="Times New Roman"/>
          <w:b/>
          <w:bCs/>
          <w:lang w:val="en-US" w:eastAsia="zh-CN"/>
        </w:rPr>
        <w:t>电子商务。</w:t>
      </w:r>
      <w:r>
        <w:rPr>
          <w:rFonts w:hint="default" w:ascii="Times New Roman" w:hAnsi="Times New Roman" w:cs="Times New Roman"/>
          <w:lang w:val="en-US" w:eastAsia="zh-CN"/>
        </w:rPr>
        <w:t>培育支持一批重点跨境电商企业，推进“互联网+”农产品出村进城工程，加快培育农村电子商务主体，完善农产品流通网络，推动农产品流通提档升级</w:t>
      </w:r>
      <w:r>
        <w:rPr>
          <w:rFonts w:hint="default" w:cs="Times New Roman"/>
          <w:lang w:val="en-US" w:eastAsia="zh-CN"/>
        </w:rPr>
        <w:t>，依托店集贡米、潘集酥瓜等特色农产品，大力发展农村电商，通过抖音、快手等新媒体平台探索发展网红经济、直播带货等新经济新业态。</w:t>
      </w:r>
      <w:r>
        <w:rPr>
          <w:rFonts w:hint="default" w:ascii="Times New Roman" w:hAnsi="Times New Roman" w:cs="Times New Roman"/>
          <w:lang w:val="en-US" w:eastAsia="zh-CN"/>
        </w:rPr>
        <w:t>不断拓展电子商务的应用领域，鼓励和支持企业在农产品、文化旅游、医疗健康等领域开展电子商务活动。鼓励企业积极开拓新兴市场，通过参加国际展会、建立海外仓等方式，提升品牌在国际市场的知名度和竞争力。</w:t>
      </w:r>
    </w:p>
    <w:p>
      <w:pPr>
        <w:bidi w:val="0"/>
        <w:rPr>
          <w:rFonts w:hint="default" w:ascii="Times New Roman" w:hAnsi="Times New Roman" w:cs="Times New Roman"/>
          <w:lang w:val="en-US" w:eastAsia="zh-CN"/>
        </w:rPr>
      </w:pPr>
      <w:r>
        <w:rPr>
          <w:rFonts w:hint="default" w:ascii="Times New Roman" w:hAnsi="Times New Roman" w:eastAsia="楷体_GB2312" w:cs="Times New Roman"/>
          <w:b/>
          <w:bCs/>
          <w:lang w:val="en-US" w:eastAsia="zh-CN"/>
        </w:rPr>
        <w:t>数字经济。</w:t>
      </w:r>
      <w:r>
        <w:rPr>
          <w:rFonts w:hint="default" w:ascii="Times New Roman" w:hAnsi="Times New Roman" w:cs="Times New Roman"/>
          <w:lang w:val="en-US" w:eastAsia="zh-CN"/>
        </w:rPr>
        <w:t>实施“人工智能+”行动</w:t>
      </w:r>
      <w:r>
        <w:rPr>
          <w:rFonts w:hint="default" w:cs="Times New Roman"/>
          <w:lang w:val="en-US" w:eastAsia="zh-CN"/>
        </w:rPr>
        <w:t>，突出数实融合赋能，</w:t>
      </w:r>
      <w:r>
        <w:rPr>
          <w:rFonts w:hint="default" w:ascii="Times New Roman" w:hAnsi="Times New Roman" w:cs="Times New Roman"/>
          <w:lang w:val="en-US" w:eastAsia="zh-CN"/>
        </w:rPr>
        <w:t>聚焦煤</w:t>
      </w:r>
      <w:r>
        <w:rPr>
          <w:rFonts w:hint="default" w:cs="Times New Roman"/>
          <w:lang w:val="en-US" w:eastAsia="zh-CN"/>
        </w:rPr>
        <w:t>矿</w:t>
      </w:r>
      <w:r>
        <w:rPr>
          <w:rFonts w:hint="default" w:ascii="Times New Roman" w:hAnsi="Times New Roman" w:cs="Times New Roman"/>
          <w:lang w:val="en-US" w:eastAsia="zh-CN"/>
        </w:rPr>
        <w:t>、</w:t>
      </w:r>
      <w:r>
        <w:rPr>
          <w:rFonts w:hint="default" w:cs="Times New Roman"/>
          <w:lang w:val="en-US" w:eastAsia="zh-CN"/>
        </w:rPr>
        <w:t>电力、新材料、装备制造等支柱产业数字化转型，</w:t>
      </w:r>
      <w:r>
        <w:rPr>
          <w:rFonts w:hint="default" w:ascii="Times New Roman" w:hAnsi="Times New Roman" w:cs="Times New Roman"/>
          <w:lang w:val="en-US" w:eastAsia="zh-CN"/>
        </w:rPr>
        <w:t>支持常态化开展企业数字化综合诊断</w:t>
      </w:r>
      <w:r>
        <w:rPr>
          <w:rFonts w:hint="default" w:cs="Times New Roman"/>
          <w:lang w:val="en-US" w:eastAsia="zh-CN"/>
        </w:rPr>
        <w:t>，</w:t>
      </w:r>
      <w:r>
        <w:rPr>
          <w:rFonts w:hint="default" w:ascii="Times New Roman" w:hAnsi="Times New Roman" w:cs="Times New Roman"/>
          <w:lang w:val="en-US" w:eastAsia="zh-CN"/>
        </w:rPr>
        <w:t>推动</w:t>
      </w:r>
      <w:r>
        <w:rPr>
          <w:rFonts w:hint="default" w:cs="Times New Roman"/>
          <w:lang w:val="en-US" w:eastAsia="zh-CN"/>
        </w:rPr>
        <w:t>中小企业</w:t>
      </w:r>
      <w:r>
        <w:rPr>
          <w:rFonts w:hint="default" w:ascii="Times New Roman" w:hAnsi="Times New Roman" w:cs="Times New Roman"/>
          <w:lang w:val="en-US" w:eastAsia="zh-CN"/>
        </w:rPr>
        <w:t>“上云、用数、赋智”，鼓励企业运用5G等新兴技术实施内网改造</w:t>
      </w:r>
      <w:r>
        <w:rPr>
          <w:rFonts w:hint="default" w:cs="Times New Roman"/>
          <w:lang w:val="en-US" w:eastAsia="zh-CN"/>
        </w:rPr>
        <w:t>，实现</w:t>
      </w:r>
      <w:r>
        <w:rPr>
          <w:rFonts w:hint="default" w:ascii="Times New Roman" w:hAnsi="Times New Roman" w:cs="Times New Roman"/>
          <w:lang w:val="en-US" w:eastAsia="zh-CN"/>
        </w:rPr>
        <w:t>规模以上制造业企业数字化改造全覆盖、规模以下制造业企业数字化应用全覆盖，</w:t>
      </w:r>
      <w:r>
        <w:rPr>
          <w:rFonts w:hint="default" w:cs="Times New Roman"/>
          <w:lang w:val="en-US" w:eastAsia="zh-CN"/>
        </w:rPr>
        <w:t>积极创建一批省级智能工厂、数字化车间企业。</w:t>
      </w:r>
      <w:r>
        <w:rPr>
          <w:rFonts w:hint="default" w:ascii="Times New Roman" w:hAnsi="Times New Roman" w:cs="Times New Roman"/>
          <w:lang w:val="en-US" w:eastAsia="zh-CN"/>
        </w:rPr>
        <w:t>强化</w:t>
      </w:r>
      <w:r>
        <w:rPr>
          <w:rFonts w:hint="default" w:cs="Times New Roman"/>
          <w:lang w:val="en-US" w:eastAsia="zh-CN"/>
        </w:rPr>
        <w:t>工业互联网平台建设，鼓励煤电企业积极接入中安联合煤化工业互联网平台，运用5G、人工智能（AI）、大数据分析等前沿技术，实现生产制造协同、供应链协同、绿色低碳协同，助力产业链企业集聚与技术创新，赋能煤矿智能化升级。</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二、以品质化生活性服务业激发消费潜力</w:t>
      </w:r>
    </w:p>
    <w:p>
      <w:pPr>
        <w:bidi w:val="0"/>
        <w:rPr>
          <w:rFonts w:hint="default" w:cs="Times New Roman"/>
          <w:lang w:val="en-US" w:eastAsia="zh-CN"/>
        </w:rPr>
      </w:pPr>
      <w:r>
        <w:rPr>
          <w:rFonts w:hint="default" w:ascii="Times New Roman" w:hAnsi="Times New Roman" w:eastAsia="楷体_GB2312" w:cs="Times New Roman"/>
          <w:b/>
          <w:bCs/>
          <w:lang w:val="en-US" w:eastAsia="zh-CN"/>
        </w:rPr>
        <w:t>积极补齐生活性服务业短板</w:t>
      </w:r>
      <w:r>
        <w:rPr>
          <w:rFonts w:hint="default" w:cs="Times New Roman"/>
          <w:lang w:val="en-US" w:eastAsia="zh-CN"/>
        </w:rPr>
        <w:t>。结合全区老旧小区改造工程和城市更新行动，建设社区综合服务设施，统筹设置幼儿园、托育点、养老服务设施、卫生服务中心（站）、微型消防站、体育健身设施、家政服务点、维修点、便利店、菜店、食堂以及公共阅读和双创空间等，扩大普惠性生活服务供给。</w:t>
      </w:r>
    </w:p>
    <w:p>
      <w:pPr>
        <w:bidi w:val="0"/>
        <w:rPr>
          <w:rFonts w:hint="default" w:ascii="Times New Roman" w:hAnsi="Times New Roman" w:cs="Times New Roman"/>
          <w:highlight w:val="yellow"/>
          <w:lang w:val="en-US" w:eastAsia="zh-CN"/>
        </w:rPr>
      </w:pPr>
      <w:r>
        <w:rPr>
          <w:rFonts w:hint="default" w:eastAsia="楷体_GB2312" w:cs="Times New Roman"/>
          <w:b/>
          <w:bCs/>
          <w:lang w:val="en-US" w:eastAsia="zh-CN"/>
        </w:rPr>
        <w:t>推进</w:t>
      </w:r>
      <w:r>
        <w:rPr>
          <w:rFonts w:hint="default" w:ascii="Times New Roman" w:hAnsi="Times New Roman" w:eastAsia="楷体_GB2312" w:cs="Times New Roman"/>
          <w:b/>
          <w:bCs/>
          <w:lang w:val="en-US" w:eastAsia="zh-CN"/>
        </w:rPr>
        <w:t>商贸服务业</w:t>
      </w:r>
      <w:r>
        <w:rPr>
          <w:rFonts w:hint="default" w:eastAsia="楷体_GB2312" w:cs="Times New Roman"/>
          <w:b/>
          <w:bCs/>
          <w:lang w:val="en-US" w:eastAsia="zh-CN"/>
        </w:rPr>
        <w:t>繁荣发展</w:t>
      </w:r>
      <w:r>
        <w:rPr>
          <w:rFonts w:hint="default" w:cs="Times New Roman"/>
          <w:lang w:val="en-US" w:eastAsia="zh-CN"/>
        </w:rPr>
        <w:t>。推进商文旅融合发展，</w:t>
      </w:r>
      <w:r>
        <w:rPr>
          <w:rFonts w:hint="default" w:ascii="Times New Roman" w:hAnsi="Times New Roman" w:cs="Times New Roman"/>
          <w:lang w:val="en-US" w:eastAsia="zh-CN"/>
        </w:rPr>
        <w:t>引导生活性服务业向高品质和多样化发展</w:t>
      </w:r>
      <w:r>
        <w:rPr>
          <w:rFonts w:hint="default" w:cs="Times New Roman"/>
          <w:lang w:val="en-US" w:eastAsia="zh-CN"/>
        </w:rPr>
        <w:t>。推动传统商贸业转型升级，鼓励发展电商、直播带货等新业态，加强商业综合体的运营管理，丰富商业业态，提升消费体验。</w:t>
      </w:r>
      <w:r>
        <w:rPr>
          <w:rFonts w:hint="default" w:ascii="Times New Roman" w:hAnsi="Times New Roman" w:cs="Times New Roman"/>
          <w:lang w:val="en-US" w:eastAsia="zh-CN"/>
        </w:rPr>
        <w:t>丰富</w:t>
      </w:r>
      <w:r>
        <w:rPr>
          <w:rFonts w:hint="default" w:cs="Times New Roman"/>
          <w:lang w:val="en-US" w:eastAsia="zh-CN"/>
        </w:rPr>
        <w:t>中心城区</w:t>
      </w:r>
      <w:r>
        <w:rPr>
          <w:rFonts w:hint="default" w:ascii="Times New Roman" w:hAnsi="Times New Roman" w:cs="Times New Roman"/>
          <w:lang w:val="en-US" w:eastAsia="zh-CN"/>
        </w:rPr>
        <w:t>多元商业业态，</w:t>
      </w:r>
      <w:r>
        <w:rPr>
          <w:rFonts w:hint="eastAsia" w:cs="Times New Roman"/>
          <w:lang w:val="en-US" w:eastAsia="zh-CN"/>
        </w:rPr>
        <w:t>推进</w:t>
      </w:r>
      <w:r>
        <w:rPr>
          <w:rFonts w:hint="default" w:ascii="Times New Roman" w:hAnsi="Times New Roman" w:cs="Times New Roman"/>
          <w:lang w:val="en-US" w:eastAsia="zh-CN"/>
        </w:rPr>
        <w:t>黄山北路红旗楼特色街区改造提升，围绕“矿工文化”改造沿街店铺立面，打造景观墙、景观小品等重要节点，将长江路、黄河路、九华山路、黄山路打造成具有潘集特色的生活性街区。</w:t>
      </w:r>
      <w:r>
        <w:rPr>
          <w:rFonts w:hint="eastAsia" w:cs="Times New Roman"/>
          <w:lang w:val="en-US" w:eastAsia="zh-CN"/>
        </w:rPr>
        <w:t>改造提升一批农贸市场，推进北城菜市场、黄河路菜市场、田集菜市场改造提升，</w:t>
      </w:r>
      <w:r>
        <w:rPr>
          <w:rFonts w:hint="default" w:ascii="Times New Roman" w:hAnsi="Times New Roman" w:cs="Times New Roman"/>
          <w:lang w:val="en-US" w:eastAsia="zh-CN"/>
        </w:rPr>
        <w:t>提质升级财富时代购物中心周边环境</w:t>
      </w:r>
      <w:r>
        <w:rPr>
          <w:rFonts w:hint="eastAsia" w:cs="Times New Roman"/>
          <w:lang w:val="en-US" w:eastAsia="zh-CN"/>
        </w:rPr>
        <w:t>。</w:t>
      </w:r>
      <w:r>
        <w:rPr>
          <w:rFonts w:hint="default" w:ascii="Times New Roman" w:hAnsi="Times New Roman" w:cs="Times New Roman"/>
          <w:lang w:val="en-US" w:eastAsia="zh-CN"/>
        </w:rPr>
        <w:t>围绕长江路沿线</w:t>
      </w:r>
      <w:r>
        <w:rPr>
          <w:rFonts w:hint="eastAsia" w:cs="Times New Roman"/>
          <w:lang w:val="en-US" w:eastAsia="zh-CN"/>
        </w:rPr>
        <w:t>新增4处商业设施</w:t>
      </w:r>
      <w:r>
        <w:rPr>
          <w:rFonts w:hint="default" w:ascii="Times New Roman" w:hAnsi="Times New Roman" w:cs="Times New Roman"/>
          <w:lang w:val="en-US" w:eastAsia="zh-CN"/>
        </w:rPr>
        <w:t>，补充布局零售、汽车服务等商业业态。围绕煤化工产业园配套服务，升级一批商业配套，繁荣发展夜游，推动餐饮住宿业特色化发展。改造提升夜间消费载体，推动餐饮、住宿、家政等生活性服务业稳步增长。</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5"/>
              <w:bidi w:val="0"/>
              <w:rPr>
                <w:rFonts w:hint="default" w:ascii="Times New Roman" w:hAnsi="Times New Roman" w:eastAsia="楷体_GB2312" w:cs="Times New Roman"/>
                <w:vertAlign w:val="baseline"/>
                <w:lang w:val="en-US" w:eastAsia="zh-CN"/>
              </w:rPr>
            </w:pPr>
            <w:bookmarkStart w:id="80" w:name="_Toc12454"/>
            <w:r>
              <w:rPr>
                <w:rFonts w:hint="default" w:ascii="Times New Roman" w:hAnsi="Times New Roman"/>
                <w:lang w:val="en-US" w:eastAsia="zh-CN"/>
              </w:rPr>
              <w:t>专栏2 现代服务业重点项目</w:t>
            </w:r>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楷体_GB2312" w:cs="Times New Roman"/>
                <w:vertAlign w:val="baseline"/>
                <w:lang w:val="en-US" w:eastAsia="zh-CN"/>
              </w:rPr>
            </w:pPr>
            <w:r>
              <w:rPr>
                <w:rFonts w:hint="default" w:ascii="Times New Roman" w:hAnsi="Times New Roman" w:cs="Times New Roman"/>
                <w:b/>
                <w:bCs/>
                <w:sz w:val="28"/>
                <w:szCs w:val="28"/>
                <w:vertAlign w:val="baseline"/>
                <w:lang w:val="en-US" w:eastAsia="zh-CN"/>
              </w:rPr>
              <w:t>现代物流项目</w:t>
            </w:r>
            <w:r>
              <w:rPr>
                <w:rFonts w:hint="default" w:ascii="Times New Roman" w:hAnsi="Times New Roman" w:eastAsia="楷体_GB2312" w:cs="Times New Roman"/>
                <w:vertAlign w:val="baseline"/>
                <w:lang w:val="en-US" w:eastAsia="zh-CN"/>
              </w:rPr>
              <w:t>。</w:t>
            </w:r>
            <w:r>
              <w:rPr>
                <w:rFonts w:hint="default" w:ascii="Times New Roman" w:hAnsi="Times New Roman" w:cs="Times New Roman"/>
                <w:b w:val="0"/>
                <w:bCs w:val="0"/>
                <w:sz w:val="28"/>
                <w:szCs w:val="28"/>
                <w:vertAlign w:val="baseline"/>
                <w:lang w:val="en-US" w:eastAsia="zh-CN"/>
              </w:rPr>
              <w:t>淮南市潘集区物流基础设施提升改造项目、长三角农产品冷链仓储智慧物流中心项目、潘一仓储物流及货运停车场项目、淮南潘集铁水公联运物流基地（一期）项目、包装物流园项目、淮南市潘集区粮食仓储基地建设项目、贺疃镇茨淮新河岸小微园区冷链物流仓储配送中心建设项目。</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lang w:val="en-US" w:eastAsia="zh-CN"/>
              </w:rPr>
            </w:pPr>
            <w:r>
              <w:rPr>
                <w:rFonts w:hint="default" w:ascii="Times New Roman" w:hAnsi="Times New Roman" w:eastAsia="仿宋_GB2312" w:cs="Times New Roman"/>
                <w:b/>
                <w:bCs/>
                <w:sz w:val="28"/>
                <w:szCs w:val="28"/>
                <w:vertAlign w:val="baseline"/>
                <w:lang w:val="en-US" w:eastAsia="zh-CN"/>
              </w:rPr>
              <w:t>数字经济项目</w:t>
            </w:r>
            <w:r>
              <w:rPr>
                <w:rFonts w:hint="default" w:ascii="Times New Roman" w:hAnsi="Times New Roman" w:cs="Times New Roman"/>
                <w:sz w:val="28"/>
                <w:szCs w:val="28"/>
                <w:vertAlign w:val="baseline"/>
                <w:lang w:val="en-US" w:eastAsia="zh-CN"/>
              </w:rPr>
              <w:t>。持续推进安徽攀云空间科技有限公司大数据处理及模拟教学平台建设项目建设。</w:t>
            </w:r>
          </w:p>
        </w:tc>
      </w:tr>
    </w:tbl>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81" w:name="_Toc28967"/>
      <w:r>
        <w:rPr>
          <w:rFonts w:hint="default" w:ascii="Times New Roman" w:hAnsi="Times New Roman" w:eastAsia="黑体" w:cs="Times New Roman"/>
          <w:b w:val="0"/>
          <w:bCs/>
          <w:color w:val="auto"/>
          <w:lang w:val="en-US" w:eastAsia="zh-CN"/>
        </w:rPr>
        <w:t xml:space="preserve">第五节 </w:t>
      </w:r>
      <w:r>
        <w:rPr>
          <w:rFonts w:hint="eastAsia" w:eastAsia="黑体" w:cs="Times New Roman"/>
          <w:b w:val="0"/>
          <w:bCs/>
          <w:color w:val="auto"/>
          <w:lang w:val="en-US" w:eastAsia="zh-CN"/>
        </w:rPr>
        <w:t>提升园区产业承载力</w:t>
      </w:r>
      <w:bookmarkEnd w:id="81"/>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一、优化“区中园”布局</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以潘集经济开发区（北区）为引领，科学布局“区中园”，形成“一区多园、一园一特色”的发展格局。</w:t>
      </w:r>
      <w:r>
        <w:rPr>
          <w:rFonts w:hint="default" w:cs="Times New Roman"/>
          <w:lang w:val="en-US" w:eastAsia="zh-CN"/>
        </w:rPr>
        <w:t>支持</w:t>
      </w:r>
      <w:r>
        <w:rPr>
          <w:rFonts w:hint="default" w:ascii="Times New Roman" w:hAnsi="Times New Roman" w:cs="Times New Roman"/>
          <w:lang w:val="en-US" w:eastAsia="zh-CN"/>
        </w:rPr>
        <w:t>现代煤化工产业园、化工材料产业园、煤基新材料产业园、高端装备智造产业园</w:t>
      </w:r>
      <w:r>
        <w:rPr>
          <w:rFonts w:hint="default" w:cs="Times New Roman"/>
          <w:lang w:val="en-US" w:eastAsia="zh-CN"/>
        </w:rPr>
        <w:t>、产业转型园区等一批特色“区中园”加快建设，加快创新创业产业园、绿色食品产业园（二期）建设进度。</w:t>
      </w:r>
      <w:r>
        <w:rPr>
          <w:rFonts w:hint="default" w:ascii="Times New Roman" w:hAnsi="Times New Roman" w:cs="Times New Roman"/>
          <w:lang w:val="en-US" w:eastAsia="zh-CN"/>
        </w:rPr>
        <w:t>探索一条“政府引导</w:t>
      </w:r>
      <w:r>
        <w:rPr>
          <w:rFonts w:hint="default" w:cs="Times New Roman"/>
          <w:lang w:val="en-US" w:eastAsia="zh-CN"/>
        </w:rPr>
        <w:t>+</w:t>
      </w:r>
      <w:r>
        <w:rPr>
          <w:rFonts w:hint="default" w:ascii="Times New Roman" w:hAnsi="Times New Roman" w:cs="Times New Roman"/>
          <w:lang w:val="en-US" w:eastAsia="zh-CN"/>
        </w:rPr>
        <w:t>企业主体</w:t>
      </w:r>
      <w:r>
        <w:rPr>
          <w:rFonts w:hint="default" w:cs="Times New Roman"/>
          <w:lang w:val="en-US" w:eastAsia="zh-CN"/>
        </w:rPr>
        <w:t>+</w:t>
      </w:r>
      <w:r>
        <w:rPr>
          <w:rFonts w:hint="default" w:ascii="Times New Roman" w:hAnsi="Times New Roman" w:cs="Times New Roman"/>
          <w:lang w:val="en-US" w:eastAsia="zh-CN"/>
        </w:rPr>
        <w:t>市场化配置资源”的建设和运营管理新路子</w:t>
      </w:r>
      <w:r>
        <w:rPr>
          <w:rFonts w:hint="default" w:cs="Times New Roman"/>
          <w:lang w:val="en-US" w:eastAsia="zh-CN"/>
        </w:rPr>
        <w:t>，</w:t>
      </w:r>
      <w:r>
        <w:rPr>
          <w:rFonts w:hint="default" w:ascii="Times New Roman" w:hAnsi="Times New Roman" w:cs="Times New Roman"/>
          <w:lang w:val="en-US" w:eastAsia="zh-CN"/>
        </w:rPr>
        <w:t>多渠道引入投资者，根据市场需求选择入驻</w:t>
      </w:r>
      <w:r>
        <w:rPr>
          <w:rFonts w:hint="default" w:ascii="Times New Roman" w:hAnsi="Times New Roman" w:cs="Times New Roman"/>
        </w:rPr>
        <w:drawing>
          <wp:anchor distT="0" distB="0" distL="114935" distR="114935" simplePos="0" relativeHeight="251661312" behindDoc="0" locked="0" layoutInCell="1" allowOverlap="1">
            <wp:simplePos x="0" y="0"/>
            <wp:positionH relativeFrom="page">
              <wp:align>center</wp:align>
            </wp:positionH>
            <wp:positionV relativeFrom="line">
              <wp:posOffset>500380</wp:posOffset>
            </wp:positionV>
            <wp:extent cx="3976370" cy="4035425"/>
            <wp:effectExtent l="0" t="0" r="5080" b="3175"/>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1637030" y="914400"/>
                      <a:ext cx="3976370" cy="4035425"/>
                    </a:xfrm>
                    <a:prstGeom prst="rect">
                      <a:avLst/>
                    </a:prstGeom>
                    <a:noFill/>
                    <a:ln>
                      <a:noFill/>
                    </a:ln>
                  </pic:spPr>
                </pic:pic>
              </a:graphicData>
            </a:graphic>
          </wp:anchor>
        </w:drawing>
      </w:r>
      <w:r>
        <w:rPr>
          <w:rFonts w:hint="default" w:ascii="Times New Roman" w:hAnsi="Times New Roman" w:cs="Times New Roman"/>
          <w:lang w:val="en-US" w:eastAsia="zh-CN"/>
        </w:rPr>
        <w:t>企业，政府则配套相应的政策和服务。</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r>
        <w:rPr>
          <w:rFonts w:hint="default" w:ascii="Times New Roman" w:hAnsi="Times New Roman" w:eastAsia="黑体" w:cs="Times New Roman"/>
          <w:b w:val="0"/>
          <w:bCs/>
          <w:kern w:val="2"/>
          <w:sz w:val="30"/>
          <w:szCs w:val="30"/>
          <w:highlight w:val="none"/>
          <w:lang w:val="en-US" w:eastAsia="zh-CN" w:bidi="ar-SA"/>
        </w:rPr>
        <w:t>图2 产业空间布局</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二、加大园区招商引资力度</w:t>
      </w:r>
    </w:p>
    <w:p>
      <w:pPr>
        <w:pageBreakBefore w:val="0"/>
        <w:kinsoku/>
        <w:wordWrap/>
        <w:overflowPunct/>
        <w:topLinePunct w:val="0"/>
        <w:autoSpaceDE/>
        <w:autoSpaceDN/>
        <w:bidi w:val="0"/>
        <w:adjustRightInd/>
        <w:spacing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以经开区（北区）为产业发展主阵地，聚焦“建设制造强区”目标，把园区经济纳入长三角一体化和合淮经济圈来规划和谋划，构建园区工业共同发展一体化格局，积极承接沪苏浙地区产业转移，加快引进一批大项目、好项目，实施大企业、大项目带动战略，推动新材料产业基地和高端制造产业集群做大做强做优。深化经济开发区（北区）管理体制机制改革，积极向上争取一级预算单位资质，破解园区多头管理、独立运营困境，完善管委会行政职能，补齐各类专业人员，提升管委会运营、招商能力。力争“十五五”期间</w:t>
      </w:r>
      <w:r>
        <w:rPr>
          <w:rFonts w:hint="default" w:cs="Times New Roman"/>
          <w:color w:val="auto"/>
          <w:highlight w:val="none"/>
          <w:lang w:val="en-US" w:eastAsia="zh-CN"/>
        </w:rPr>
        <w:t>经开区（北区）</w:t>
      </w:r>
      <w:r>
        <w:rPr>
          <w:rFonts w:hint="default" w:ascii="Times New Roman" w:hAnsi="Times New Roman" w:cs="Times New Roman"/>
          <w:color w:val="auto"/>
          <w:highlight w:val="none"/>
          <w:lang w:val="en-US" w:eastAsia="zh-CN"/>
        </w:rPr>
        <w:t>引进资金100亿元</w:t>
      </w:r>
      <w:r>
        <w:rPr>
          <w:rFonts w:hint="default" w:cs="Times New Roman"/>
          <w:color w:val="auto"/>
          <w:highlight w:val="none"/>
          <w:lang w:val="en-US" w:eastAsia="zh-CN"/>
        </w:rPr>
        <w:t>、</w:t>
      </w:r>
      <w:r>
        <w:rPr>
          <w:rFonts w:hint="default" w:ascii="Times New Roman" w:hAnsi="Times New Roman" w:cs="Times New Roman"/>
          <w:color w:val="auto"/>
          <w:highlight w:val="none"/>
          <w:lang w:val="en-US" w:eastAsia="zh-CN"/>
        </w:rPr>
        <w:t>固定资产投资30亿元</w:t>
      </w:r>
      <w:r>
        <w:rPr>
          <w:rFonts w:hint="default" w:cs="Times New Roman"/>
          <w:color w:val="auto"/>
          <w:highlight w:val="none"/>
          <w:lang w:val="en-US" w:eastAsia="zh-CN"/>
        </w:rPr>
        <w:t>、</w:t>
      </w:r>
      <w:r>
        <w:rPr>
          <w:rFonts w:hint="default" w:ascii="Times New Roman" w:hAnsi="Times New Roman" w:cs="Times New Roman"/>
          <w:color w:val="auto"/>
          <w:highlight w:val="none"/>
          <w:lang w:val="en-US" w:eastAsia="zh-CN"/>
        </w:rPr>
        <w:t>引进规上企业30家</w:t>
      </w:r>
      <w:r>
        <w:rPr>
          <w:rFonts w:hint="default" w:cs="Times New Roman"/>
          <w:color w:val="auto"/>
          <w:highlight w:val="none"/>
          <w:lang w:val="en-US" w:eastAsia="zh-CN"/>
        </w:rPr>
        <w:t>、</w:t>
      </w:r>
      <w:r>
        <w:rPr>
          <w:rFonts w:hint="default" w:ascii="Times New Roman" w:hAnsi="Times New Roman" w:cs="Times New Roman"/>
          <w:color w:val="auto"/>
          <w:highlight w:val="none"/>
          <w:lang w:val="en-US" w:eastAsia="zh-CN"/>
        </w:rPr>
        <w:t>力争完成税收6亿元。</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三、强化园区基础设施配套</w:t>
      </w:r>
    </w:p>
    <w:p>
      <w:pPr>
        <w:pageBreakBefore w:val="0"/>
        <w:kinsoku/>
        <w:wordWrap/>
        <w:overflowPunct/>
        <w:topLinePunct w:val="0"/>
        <w:autoSpaceDE/>
        <w:autoSpaceDN/>
        <w:bidi w:val="0"/>
        <w:adjustRightInd/>
        <w:spacing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全面提升</w:t>
      </w:r>
      <w:r>
        <w:rPr>
          <w:rFonts w:hint="default" w:cs="Times New Roman"/>
          <w:color w:val="auto"/>
          <w:highlight w:val="none"/>
          <w:lang w:val="en-US" w:eastAsia="zh-CN"/>
        </w:rPr>
        <w:t>各类</w:t>
      </w:r>
      <w:r>
        <w:rPr>
          <w:rFonts w:hint="default" w:ascii="Times New Roman" w:hAnsi="Times New Roman" w:cs="Times New Roman"/>
          <w:color w:val="auto"/>
          <w:highlight w:val="none"/>
          <w:lang w:val="en-US" w:eastAsia="zh-CN"/>
        </w:rPr>
        <w:t>园区形象，切实增强</w:t>
      </w:r>
      <w:r>
        <w:rPr>
          <w:rFonts w:hint="default" w:cs="Times New Roman"/>
          <w:color w:val="auto"/>
          <w:highlight w:val="none"/>
          <w:lang w:val="en-US" w:eastAsia="zh-CN"/>
        </w:rPr>
        <w:t>园区</w:t>
      </w:r>
      <w:r>
        <w:rPr>
          <w:rFonts w:hint="default" w:ascii="Times New Roman" w:hAnsi="Times New Roman" w:cs="Times New Roman"/>
          <w:color w:val="auto"/>
          <w:highlight w:val="none"/>
          <w:lang w:val="en-US" w:eastAsia="zh-CN"/>
        </w:rPr>
        <w:t>的吸引力和集聚力，更好地为集聚</w:t>
      </w:r>
      <w:r>
        <w:rPr>
          <w:rFonts w:hint="default" w:cs="Times New Roman"/>
          <w:color w:val="auto"/>
          <w:highlight w:val="none"/>
          <w:lang w:val="en-US" w:eastAsia="zh-CN"/>
        </w:rPr>
        <w:t>重大</w:t>
      </w:r>
      <w:r>
        <w:rPr>
          <w:rFonts w:hint="default" w:ascii="Times New Roman" w:hAnsi="Times New Roman" w:cs="Times New Roman"/>
          <w:color w:val="auto"/>
          <w:highlight w:val="none"/>
          <w:lang w:val="en-US" w:eastAsia="zh-CN"/>
        </w:rPr>
        <w:t>项目创造条件</w:t>
      </w:r>
      <w:r>
        <w:rPr>
          <w:rFonts w:hint="default" w:cs="Times New Roman"/>
          <w:color w:val="auto"/>
          <w:highlight w:val="none"/>
          <w:lang w:val="en-US" w:eastAsia="zh-CN"/>
        </w:rPr>
        <w:t>，</w:t>
      </w:r>
      <w:r>
        <w:rPr>
          <w:rFonts w:hint="default" w:ascii="Times New Roman" w:hAnsi="Times New Roman" w:cs="Times New Roman"/>
          <w:color w:val="auto"/>
          <w:highlight w:val="none"/>
          <w:lang w:val="en-US" w:eastAsia="zh-CN"/>
        </w:rPr>
        <w:t>对</w:t>
      </w:r>
      <w:r>
        <w:rPr>
          <w:rFonts w:hint="default" w:cs="Times New Roman"/>
          <w:color w:val="auto"/>
          <w:highlight w:val="none"/>
          <w:lang w:val="en-US" w:eastAsia="zh-CN"/>
        </w:rPr>
        <w:t>园区内</w:t>
      </w:r>
      <w:r>
        <w:rPr>
          <w:rFonts w:hint="default" w:ascii="Times New Roman" w:hAnsi="Times New Roman" w:cs="Times New Roman"/>
          <w:color w:val="auto"/>
          <w:highlight w:val="none"/>
          <w:lang w:val="en-US" w:eastAsia="zh-CN"/>
        </w:rPr>
        <w:t>重要基础设施建设要列入年度发展计划，完善功能配套，高起点规划集中区内部的道路，供电、供水、污水处理等基础设施及物流等各种服务设施。争取“一区多园”新增建设用地总指标，逐年增强土地储备能力，保障工业用地供应。加快推进新材料产业园基础设施、经开区循环经济产业园及配套基础设施提升等一批</w:t>
      </w:r>
      <w:r>
        <w:rPr>
          <w:rFonts w:hint="default" w:cs="Times New Roman"/>
          <w:color w:val="auto"/>
          <w:highlight w:val="none"/>
          <w:lang w:val="en-US" w:eastAsia="zh-CN"/>
        </w:rPr>
        <w:t>园区基础设施</w:t>
      </w:r>
      <w:r>
        <w:rPr>
          <w:rFonts w:hint="default" w:ascii="Times New Roman" w:hAnsi="Times New Roman" w:cs="Times New Roman"/>
          <w:color w:val="auto"/>
          <w:highlight w:val="none"/>
          <w:lang w:val="en-US" w:eastAsia="zh-CN"/>
        </w:rPr>
        <w:t>项目建设。</w:t>
      </w:r>
      <w:r>
        <w:rPr>
          <w:rFonts w:hint="default" w:cs="Times New Roman"/>
          <w:color w:val="auto"/>
          <w:highlight w:val="none"/>
          <w:lang w:val="en-US" w:eastAsia="zh-CN"/>
        </w:rPr>
        <w:t>积极宣传经开区（北区）投资环境、投资项目、产业园区等，提升开发区在国内的知名度和影响力。</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5"/>
              <w:bidi w:val="0"/>
              <w:rPr>
                <w:rFonts w:hint="default" w:ascii="Times New Roman" w:hAnsi="Times New Roman" w:eastAsia="楷体_GB2312" w:cs="Times New Roman"/>
                <w:vertAlign w:val="baseline"/>
                <w:lang w:val="en-US" w:eastAsia="zh-CN"/>
              </w:rPr>
            </w:pPr>
            <w:bookmarkStart w:id="82" w:name="_Toc7491"/>
            <w:r>
              <w:rPr>
                <w:rFonts w:hint="default"/>
                <w:lang w:val="en-US" w:eastAsia="zh-CN"/>
              </w:rPr>
              <w:t>专栏3 区中园建设及配套基础设施重点项目</w:t>
            </w:r>
            <w:bookmarkEnd w:id="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600" w:lineRule="exact"/>
              <w:ind w:left="0" w:leftChars="0" w:firstLine="562" w:firstLineChars="200"/>
              <w:textAlignment w:val="auto"/>
              <w:rPr>
                <w:rFonts w:hint="default" w:ascii="Times New Roman" w:hAnsi="Times New Roman" w:cs="Times New Roman"/>
                <w:b w:val="0"/>
                <w:bCs w:val="0"/>
                <w:kern w:val="2"/>
                <w:sz w:val="28"/>
                <w:szCs w:val="28"/>
                <w:vertAlign w:val="baseline"/>
                <w:lang w:val="en-US" w:eastAsia="zh-CN" w:bidi="ar-SA"/>
              </w:rPr>
            </w:pPr>
            <w:r>
              <w:rPr>
                <w:rFonts w:hint="default" w:ascii="Times New Roman" w:hAnsi="Times New Roman" w:eastAsia="仿宋_GB2312" w:cs="Times New Roman"/>
                <w:b/>
                <w:bCs/>
                <w:kern w:val="2"/>
                <w:sz w:val="28"/>
                <w:szCs w:val="28"/>
                <w:vertAlign w:val="baseline"/>
                <w:lang w:val="en-US" w:eastAsia="zh-CN" w:bidi="ar-SA"/>
              </w:rPr>
              <w:t>化工新材料产业园项目</w:t>
            </w:r>
            <w:r>
              <w:rPr>
                <w:rFonts w:hint="default" w:ascii="Times New Roman" w:hAnsi="Times New Roman" w:cs="Times New Roman"/>
                <w:b/>
                <w:bCs/>
                <w:kern w:val="2"/>
                <w:sz w:val="28"/>
                <w:szCs w:val="28"/>
                <w:vertAlign w:val="baseline"/>
                <w:lang w:val="en-US" w:eastAsia="zh-CN" w:bidi="ar-SA"/>
              </w:rPr>
              <w:t>。</w:t>
            </w:r>
            <w:r>
              <w:rPr>
                <w:rFonts w:hint="default" w:ascii="Times New Roman" w:hAnsi="Times New Roman" w:cs="Times New Roman"/>
                <w:b w:val="0"/>
                <w:bCs w:val="0"/>
                <w:kern w:val="2"/>
                <w:sz w:val="28"/>
                <w:szCs w:val="28"/>
                <w:vertAlign w:val="baseline"/>
                <w:lang w:val="en-US" w:eastAsia="zh-CN" w:bidi="ar-SA"/>
              </w:rPr>
              <w:t>项目占地2.9平方公里，主要分为无纺布产业园2100亩，功能新材料产业园2250亩。</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2" w:firstLineChars="200"/>
              <w:textAlignment w:val="auto"/>
              <w:rPr>
                <w:rFonts w:hint="default" w:ascii="Times New Roman" w:hAnsi="Times New Roman" w:eastAsia="仿宋_GB2312" w:cs="Times New Roman"/>
                <w:b w:val="0"/>
                <w:bCs w:val="0"/>
                <w:kern w:val="2"/>
                <w:sz w:val="28"/>
                <w:szCs w:val="28"/>
                <w:vertAlign w:val="baseline"/>
                <w:lang w:val="en-US" w:eastAsia="zh-CN" w:bidi="ar-SA"/>
              </w:rPr>
            </w:pPr>
            <w:r>
              <w:rPr>
                <w:rFonts w:hint="default" w:ascii="Times New Roman" w:hAnsi="Times New Roman" w:eastAsia="仿宋_GB2312" w:cs="Times New Roman"/>
                <w:b/>
                <w:bCs/>
                <w:kern w:val="2"/>
                <w:sz w:val="28"/>
                <w:szCs w:val="28"/>
                <w:vertAlign w:val="baseline"/>
                <w:lang w:val="en-US" w:eastAsia="zh-CN" w:bidi="ar-SA"/>
              </w:rPr>
              <w:t>潘集区大宗固废循环经济产业园</w:t>
            </w:r>
            <w:r>
              <w:rPr>
                <w:rFonts w:hint="default" w:ascii="Times New Roman" w:hAnsi="Times New Roman" w:cs="Times New Roman"/>
                <w:b/>
                <w:bCs/>
                <w:kern w:val="2"/>
                <w:sz w:val="28"/>
                <w:szCs w:val="28"/>
                <w:vertAlign w:val="baseline"/>
                <w:lang w:val="en-US" w:eastAsia="zh-CN" w:bidi="ar-SA"/>
              </w:rPr>
              <w:t>。</w:t>
            </w:r>
            <w:r>
              <w:rPr>
                <w:rFonts w:hint="default" w:ascii="Times New Roman" w:hAnsi="Times New Roman" w:cs="Times New Roman"/>
                <w:b w:val="0"/>
                <w:bCs w:val="0"/>
                <w:kern w:val="2"/>
                <w:sz w:val="28"/>
                <w:szCs w:val="28"/>
                <w:vertAlign w:val="baseline"/>
                <w:lang w:val="en-US" w:eastAsia="zh-CN" w:bidi="ar-SA"/>
              </w:rPr>
              <w:t>项目占地面积1150亩，主要利用煤矸石、粉煤灰、煤化工气化渣、脱硫石膏等大宗固废，围绕新型绿色建筑工业化产品的提档升级和绿色制造进行系统设计与开发。</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2" w:firstLineChars="200"/>
              <w:textAlignment w:val="auto"/>
              <w:rPr>
                <w:rFonts w:hint="default" w:ascii="Times New Roman" w:hAnsi="Times New Roman" w:eastAsia="仿宋_GB2312" w:cs="Times New Roman"/>
                <w:b w:val="0"/>
                <w:bCs w:val="0"/>
                <w:kern w:val="2"/>
                <w:sz w:val="28"/>
                <w:szCs w:val="28"/>
                <w:vertAlign w:val="baseline"/>
                <w:lang w:val="en-US" w:eastAsia="zh-CN" w:bidi="ar-SA"/>
              </w:rPr>
            </w:pPr>
            <w:r>
              <w:rPr>
                <w:rFonts w:hint="default" w:ascii="Times New Roman" w:hAnsi="Times New Roman" w:eastAsia="仿宋_GB2312" w:cs="Times New Roman"/>
                <w:b/>
                <w:bCs/>
                <w:kern w:val="2"/>
                <w:sz w:val="28"/>
                <w:szCs w:val="28"/>
                <w:vertAlign w:val="baseline"/>
                <w:lang w:val="en-US" w:eastAsia="zh-CN" w:bidi="ar-SA"/>
              </w:rPr>
              <w:t>潘集经济开发区（北区</w:t>
            </w:r>
            <w:r>
              <w:rPr>
                <w:rFonts w:hint="default" w:ascii="Times New Roman" w:hAnsi="Times New Roman" w:cs="Times New Roman"/>
                <w:b/>
                <w:bCs/>
                <w:kern w:val="2"/>
                <w:sz w:val="28"/>
                <w:szCs w:val="28"/>
                <w:vertAlign w:val="baseline"/>
                <w:lang w:val="en-US" w:eastAsia="zh-CN" w:bidi="ar-SA"/>
              </w:rPr>
              <w:t>）</w:t>
            </w:r>
            <w:r>
              <w:rPr>
                <w:rFonts w:hint="default" w:ascii="Times New Roman" w:hAnsi="Times New Roman" w:eastAsia="仿宋_GB2312" w:cs="Times New Roman"/>
                <w:b/>
                <w:bCs/>
                <w:kern w:val="2"/>
                <w:sz w:val="28"/>
                <w:szCs w:val="28"/>
                <w:vertAlign w:val="baseline"/>
                <w:lang w:val="en-US" w:eastAsia="zh-CN" w:bidi="ar-SA"/>
              </w:rPr>
              <w:t>办公大楼后面地块项目</w:t>
            </w:r>
            <w:r>
              <w:rPr>
                <w:rFonts w:hint="default" w:ascii="Times New Roman" w:hAnsi="Times New Roman" w:cs="Times New Roman"/>
                <w:b/>
                <w:bCs/>
                <w:kern w:val="2"/>
                <w:sz w:val="28"/>
                <w:szCs w:val="28"/>
                <w:vertAlign w:val="baseline"/>
                <w:lang w:val="en-US" w:eastAsia="zh-CN" w:bidi="ar-SA"/>
              </w:rPr>
              <w:t>。</w:t>
            </w:r>
            <w:r>
              <w:rPr>
                <w:rFonts w:hint="default" w:ascii="Times New Roman" w:hAnsi="Times New Roman" w:cs="Times New Roman"/>
                <w:b w:val="0"/>
                <w:bCs w:val="0"/>
                <w:kern w:val="2"/>
                <w:sz w:val="28"/>
                <w:szCs w:val="28"/>
                <w:vertAlign w:val="baseline"/>
                <w:lang w:val="en-US" w:eastAsia="zh-CN" w:bidi="ar-SA"/>
              </w:rPr>
              <w:t>主要建设研发楼一栋，标准化厂房仓库等三栋及配套工程。</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lang w:val="en-US" w:eastAsia="zh-CN"/>
              </w:rPr>
            </w:pPr>
            <w:r>
              <w:rPr>
                <w:rFonts w:hint="default" w:ascii="Times New Roman" w:hAnsi="Times New Roman" w:cs="Times New Roman"/>
                <w:b/>
                <w:bCs/>
                <w:sz w:val="28"/>
                <w:szCs w:val="28"/>
                <w:vertAlign w:val="baseline"/>
                <w:lang w:val="en-US" w:eastAsia="zh-CN"/>
              </w:rPr>
              <w:t>新材料产业园基础设施建设项目</w:t>
            </w:r>
            <w:r>
              <w:rPr>
                <w:rFonts w:hint="default" w:ascii="Times New Roman" w:hAnsi="Times New Roman" w:eastAsia="楷体_GB2312" w:cs="Times New Roman"/>
                <w:b/>
                <w:bCs/>
                <w:sz w:val="28"/>
                <w:szCs w:val="28"/>
                <w:vertAlign w:val="baseline"/>
                <w:lang w:val="en-US" w:eastAsia="zh-CN"/>
              </w:rPr>
              <w:t>。</w:t>
            </w:r>
            <w:r>
              <w:rPr>
                <w:rFonts w:hint="default" w:ascii="Times New Roman" w:hAnsi="Times New Roman" w:eastAsia="仿宋_GB2312" w:cs="Times New Roman"/>
                <w:sz w:val="28"/>
                <w:szCs w:val="28"/>
                <w:vertAlign w:val="baseline"/>
                <w:lang w:val="en-US" w:eastAsia="zh-CN"/>
              </w:rPr>
              <w:t>标准化厂房建设、研发中心，以及配套工程</w:t>
            </w:r>
            <w:r>
              <w:rPr>
                <w:rFonts w:hint="default" w:ascii="Times New Roman" w:hAnsi="Times New Roman" w:cs="Times New Roman"/>
                <w:sz w:val="28"/>
                <w:szCs w:val="28"/>
                <w:vertAlign w:val="baseline"/>
                <w:lang w:val="en-US" w:eastAsia="zh-CN"/>
              </w:rPr>
              <w:t>。配套建设园区道路、机动车停车位、充电桩及给排水管网、消防等园区基础设施。</w:t>
            </w:r>
          </w:p>
        </w:tc>
      </w:tr>
    </w:tbl>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2"/>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简体" w:cs="Times New Roman"/>
          <w:highlight w:val="none"/>
          <w:lang w:val="en-US" w:eastAsia="zh-CN"/>
        </w:rPr>
      </w:pPr>
      <w:bookmarkStart w:id="83" w:name="_Toc5881"/>
      <w:r>
        <w:rPr>
          <w:rFonts w:hint="default" w:ascii="Times New Roman" w:hAnsi="Times New Roman" w:eastAsia="方正小标宋简体" w:cs="Times New Roman"/>
          <w:highlight w:val="none"/>
          <w:lang w:val="en-US" w:eastAsia="zh-CN"/>
        </w:rPr>
        <w:t xml:space="preserve">第四章 </w:t>
      </w:r>
      <w:r>
        <w:rPr>
          <w:rFonts w:hint="default" w:ascii="Times New Roman" w:hAnsi="Times New Roman" w:eastAsia="方正小标宋简体" w:cs="Times New Roman"/>
          <w:color w:val="auto"/>
          <w:highlight w:val="none"/>
          <w:lang w:val="en-US" w:eastAsia="zh-CN"/>
        </w:rPr>
        <w:t>实施创新驱动战略，</w:t>
      </w:r>
      <w:r>
        <w:rPr>
          <w:rFonts w:hint="eastAsia" w:eastAsia="方正小标宋简体" w:cs="Times New Roman"/>
          <w:highlight w:val="none"/>
          <w:lang w:val="en-US" w:eastAsia="zh-CN"/>
        </w:rPr>
        <w:t>培育壮大新质生产力</w:t>
      </w:r>
      <w:bookmarkEnd w:id="83"/>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深入实施创新主体“三大工程”，加快构建以企业为主体的科技创新体系，打造高</w:t>
      </w:r>
      <w:r>
        <w:rPr>
          <w:rFonts w:hint="default" w:cs="Times New Roman"/>
          <w:lang w:val="en-US" w:eastAsia="zh-CN"/>
        </w:rPr>
        <w:t>能级</w:t>
      </w:r>
      <w:r>
        <w:rPr>
          <w:rFonts w:hint="default" w:ascii="Times New Roman" w:hAnsi="Times New Roman" w:cs="Times New Roman"/>
          <w:lang w:val="en-US" w:eastAsia="zh-CN"/>
        </w:rPr>
        <w:t>科技创新载体和平台，促进创新链产业链资金链人才链深度融合，切实增强科技创新对</w:t>
      </w:r>
      <w:r>
        <w:rPr>
          <w:rFonts w:hint="default" w:cs="Times New Roman"/>
          <w:lang w:val="en-US" w:eastAsia="zh-CN"/>
        </w:rPr>
        <w:t>新质生产力发展</w:t>
      </w:r>
      <w:r>
        <w:rPr>
          <w:rFonts w:hint="default" w:ascii="Times New Roman" w:hAnsi="Times New Roman" w:cs="Times New Roman"/>
          <w:lang w:val="en-US" w:eastAsia="zh-CN"/>
        </w:rPr>
        <w:t>的引领和支撑作用。</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84" w:name="_Toc18419"/>
      <w:r>
        <w:rPr>
          <w:rFonts w:hint="default" w:ascii="Times New Roman" w:hAnsi="Times New Roman" w:eastAsia="黑体" w:cs="Times New Roman"/>
          <w:b w:val="0"/>
          <w:bCs/>
          <w:lang w:val="en-US" w:eastAsia="zh-CN"/>
        </w:rPr>
        <w:t>第一节 强化企业创新主体地位</w:t>
      </w:r>
      <w:bookmarkEnd w:id="84"/>
    </w:p>
    <w:p>
      <w:pPr>
        <w:pStyle w:val="4"/>
        <w:bidi w:val="0"/>
        <w:rPr>
          <w:rFonts w:hint="default" w:ascii="Times New Roman" w:hAnsi="Times New Roman" w:cs="Times New Roman"/>
        </w:rPr>
      </w:pPr>
      <w:r>
        <w:rPr>
          <w:rFonts w:hint="default" w:ascii="Times New Roman" w:hAnsi="Times New Roman" w:cs="Times New Roman"/>
          <w:lang w:val="en-US" w:eastAsia="zh-CN"/>
        </w:rPr>
        <w:t>一、提升</w:t>
      </w:r>
      <w:r>
        <w:rPr>
          <w:rFonts w:hint="default" w:ascii="Times New Roman" w:hAnsi="Times New Roman" w:cs="Times New Roman"/>
        </w:rPr>
        <w:t>企业</w:t>
      </w:r>
      <w:r>
        <w:rPr>
          <w:rFonts w:hint="default" w:cs="Times New Roman"/>
          <w:lang w:val="en-US" w:eastAsia="zh-CN"/>
        </w:rPr>
        <w:t>研发创新</w:t>
      </w:r>
      <w:r>
        <w:rPr>
          <w:rFonts w:hint="default" w:ascii="Times New Roman" w:hAnsi="Times New Roman" w:cs="Times New Roman"/>
        </w:rPr>
        <w:t>能力</w:t>
      </w:r>
    </w:p>
    <w:p>
      <w:pPr>
        <w:pageBreakBefore w:val="0"/>
        <w:widowControl w:val="0"/>
        <w:kinsoku/>
        <w:wordWrap/>
        <w:overflowPunct/>
        <w:topLinePunct w:val="0"/>
        <w:autoSpaceDE/>
        <w:autoSpaceDN/>
        <w:bidi w:val="0"/>
        <w:adjustRightInd/>
        <w:spacing w:line="240" w:lineRule="auto"/>
        <w:ind w:left="0" w:leftChars="0" w:firstLine="643"/>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加快开展工业企业创新活动新机构、创新成果全覆盖工作，</w:t>
      </w:r>
      <w:r>
        <w:rPr>
          <w:rFonts w:hint="default" w:ascii="Times New Roman" w:hAnsi="Times New Roman" w:cs="Times New Roman"/>
          <w:color w:val="000000" w:themeColor="text1"/>
          <w:highlight w:val="none"/>
          <w:lang w:val="en-US" w:eastAsia="zh-CN"/>
          <w14:textFill>
            <w14:solidFill>
              <w14:schemeClr w14:val="tx1"/>
            </w14:solidFill>
          </w14:textFill>
        </w:rPr>
        <w:t>推动</w:t>
      </w:r>
      <w:r>
        <w:rPr>
          <w:rFonts w:hint="default" w:ascii="Times New Roman" w:hAnsi="Times New Roman" w:cs="Times New Roman"/>
          <w:color w:val="000000" w:themeColor="text1"/>
          <w:highlight w:val="none"/>
          <w14:textFill>
            <w14:solidFill>
              <w14:schemeClr w14:val="tx1"/>
            </w14:solidFill>
          </w14:textFill>
        </w:rPr>
        <w:t>构建“研发—中试—产品—推广应用”全链条创新体系。提升企业研发机构覆盖率，实施规上企业“研发清零”动态化管理，确保亿元以上企业100%有研发活动，持续加大对新鸿药业、博普纳米等重点企业</w:t>
      </w:r>
      <w:r>
        <w:rPr>
          <w:rFonts w:hint="default" w:ascii="Times New Roman" w:hAnsi="Times New Roman" w:cs="Times New Roman"/>
          <w:color w:val="000000" w:themeColor="text1"/>
          <w:highlight w:val="none"/>
          <w:lang w:val="en-US" w:eastAsia="zh-CN"/>
          <w14:textFill>
            <w14:solidFill>
              <w14:schemeClr w14:val="tx1"/>
            </w14:solidFill>
          </w14:textFill>
        </w:rPr>
        <w:t>研发</w:t>
      </w:r>
      <w:r>
        <w:rPr>
          <w:rFonts w:hint="default" w:ascii="Times New Roman" w:hAnsi="Times New Roman" w:cs="Times New Roman"/>
          <w:color w:val="000000" w:themeColor="text1"/>
          <w:highlight w:val="none"/>
          <w14:textFill>
            <w14:solidFill>
              <w14:schemeClr w14:val="tx1"/>
            </w14:solidFill>
          </w14:textFill>
        </w:rPr>
        <w:t>支持力度。发挥企业创新主体功能，加强政产学研科技合作，强化校（院）企、校地对接，支持企业与高校、科研机构共建产学研合作平台，鼓励产业链龙头企业牵头组建创新联合体，通过“揭榜挂帅”方式开展科技攻关，探索“科学家+工程师+产品经理人（企业合伙人）”“科企联合攻关+应用场感景首用+接续采购”新模式，实现技术研发与成果转化无缝衔接。建立健全企业参与制定创新政策、规划和标准的机制。</w:t>
      </w:r>
      <w:r>
        <w:rPr>
          <w:rFonts w:hint="default" w:cs="Times New Roman"/>
          <w:color w:val="000000" w:themeColor="text1"/>
          <w:highlight w:val="none"/>
          <w:lang w:val="en-US" w:eastAsia="zh-CN"/>
          <w14:textFill>
            <w14:solidFill>
              <w14:schemeClr w14:val="tx1"/>
            </w14:solidFill>
          </w14:textFill>
        </w:rPr>
        <w:t>力争</w:t>
      </w:r>
      <w:r>
        <w:rPr>
          <w:rFonts w:hint="default" w:ascii="Times New Roman" w:hAnsi="Times New Roman" w:cs="Times New Roman"/>
          <w:color w:val="000000" w:themeColor="text1"/>
          <w:highlight w:val="none"/>
          <w14:textFill>
            <w14:solidFill>
              <w14:schemeClr w14:val="tx1"/>
            </w14:solidFill>
          </w14:textFill>
        </w:rPr>
        <w:t>到2030年，规上工业企业研发机构覆盖率达50%以上，研发投入强度年均提升10%，规模以上工业企业研发投入强度达到3%。</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二、壮大创新型主体规模</w:t>
      </w:r>
    </w:p>
    <w:p>
      <w:pPr>
        <w:pageBreakBefore w:val="0"/>
        <w:widowControl w:val="0"/>
        <w:kinsoku/>
        <w:wordWrap/>
        <w:overflowPunct/>
        <w:topLinePunct w:val="0"/>
        <w:autoSpaceDE/>
        <w:autoSpaceDN/>
        <w:bidi w:val="0"/>
        <w:adjustRightInd/>
        <w:spacing w:line="240" w:lineRule="auto"/>
        <w:ind w:left="0" w:leftChars="0" w:firstLine="643"/>
        <w:textAlignment w:val="auto"/>
        <w:rPr>
          <w:rFonts w:hint="default" w:ascii="Times New Roman" w:hAnsi="Times New Roman" w:cs="Times New Roman"/>
        </w:rPr>
      </w:pPr>
      <w:r>
        <w:rPr>
          <w:rFonts w:hint="default" w:ascii="Times New Roman" w:hAnsi="Times New Roman" w:cs="Times New Roman"/>
          <w:color w:val="000000" w:themeColor="text1"/>
          <w14:textFill>
            <w14:solidFill>
              <w14:schemeClr w14:val="tx1"/>
            </w14:solidFill>
          </w14:textFill>
        </w:rPr>
        <w:t>全面梳理高新技术企业、专精特新企业和亿元以上企业清单，建立融资服务、人才用工服务、市场拓展服务、协同创新服务等4项服务工作机制，加大瞪羚企业、独角兽企业、制造业单项冠军及产业链链主企业培育力度。推动制造业优质企业梯度成长，建立“科小—高企—领军企业”梯度培育库，通过提供“一对一”全周期服务，不断强化对科技型中小企业培育。加强对中小微企业引进知识产权、实施创新管理、建立规范财务制度和现代企业管理制度等方面的培训辅导，支持中小微企业向“专精特新”方向升级。促进大中小企业深化拓展供应链合作关系，加快构建协同、高效、融合、顺畅的大中小企业融通发展生态。力争到2030年高新技术企业数量突破30家（年均增长≥15%），科技型中小企业入库超100家。</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85" w:name="_Toc865"/>
      <w:r>
        <w:rPr>
          <w:rFonts w:hint="default" w:ascii="Times New Roman" w:hAnsi="Times New Roman" w:eastAsia="黑体" w:cs="Times New Roman"/>
          <w:b w:val="0"/>
          <w:bCs/>
          <w:lang w:val="en-US" w:eastAsia="zh-CN"/>
        </w:rPr>
        <w:t>第二节 构筑高能级创新平台</w:t>
      </w:r>
      <w:bookmarkEnd w:id="85"/>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主动对接上海张江、合肥综合性国家科学中心，积极参与“五个一”创新主平台、“一室一中心”分平台建设，主动服务合肥综合性国家科学中心淮南辐射区建设。围绕潘集区主导产业、战略性新兴产业发展需求，培育建设一批技术创新中心、创新联合体、新型研发机构等新型创新平台，积极对接安理智谷等高能级平台，联合中科院合肥物质研究院等机构共建煤化工中试基地。重点保障安徽现代煤化工产业园科技孵化器建设，放大区级科技孵化器引领示范效应，鼓励以科技创业园、高校、科研院所、老厂房、旧仓库、存量商务楼宇等为载体，加快建设一批重点突出、服务专业、特色鲜明的科技企业孵化器和众创空间。鼓励社会力量参与新型研发机构建设，探索多元化的建设模式和运行机制。</w:t>
      </w:r>
      <w:r>
        <w:rPr>
          <w:rFonts w:hint="default" w:cs="Times New Roman"/>
          <w:lang w:val="en-US" w:eastAsia="zh-CN"/>
        </w:rPr>
        <w:t>力争</w:t>
      </w:r>
      <w:r>
        <w:rPr>
          <w:rFonts w:hint="default" w:ascii="Times New Roman" w:hAnsi="Times New Roman" w:cs="Times New Roman"/>
          <w:lang w:val="en-US" w:eastAsia="zh-CN"/>
        </w:rPr>
        <w:t>到2030年，新增省级以上企业技术中心、工程研究中心等创新平台10家。</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86" w:name="_Toc1269"/>
      <w:r>
        <w:rPr>
          <w:rFonts w:hint="default" w:ascii="Times New Roman" w:hAnsi="Times New Roman" w:eastAsia="黑体" w:cs="Times New Roman"/>
          <w:b w:val="0"/>
          <w:bCs/>
          <w:lang w:val="en-US" w:eastAsia="zh-CN"/>
        </w:rPr>
        <w:t>第三节 推动科技成果转移转化</w:t>
      </w:r>
      <w:bookmarkEnd w:id="86"/>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坚持“政产学研金服用”融合发展，构建重大科研成果技术熟化、产业孵化、企业对接、成果落地全链条转化机制。持续开展科技成果转化对接活动，鼓励企业积极参加“安理智谷杯”淮南赛，充分借力安徽“双创汇”活动、“研之有悟·科创会客厅”等平台，整合科技成果、技术需求、专家人才等资源，建立“企业技术需求清单”与“高校成果清单”定期匹配机制，促进科技成果与企业需求的有效对接。引导本地企业积极与淮南联合大学、淮南师范学院、安徽理工大学、中国科学技术大学等区域内外高校科研院所合作，支持企业吸纳技术合同，推动更多科技成果在潘集落地转化，力争“十五五”时期技术合同成交额年均增长20%以上，其中企业输出技术合同占比提升至30%。完善科技成果转化服务体系，培育一批专业化、市场化的技术转移服务机构，提高技术转移服务能力。加大知识产权保护力度，确保科技成果转移转化成效，助力淮南建设知识产权强市。加快设立区级科创基金，推动投早投小投长期投硬科技，撬动社会资本支持早期项目。</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bookmarkStart w:id="87" w:name="_Toc18381"/>
      <w:r>
        <w:rPr>
          <w:rFonts w:hint="default" w:ascii="Times New Roman" w:hAnsi="Times New Roman" w:eastAsia="黑体" w:cs="Times New Roman"/>
          <w:b w:val="0"/>
          <w:bCs/>
          <w:lang w:val="en-US" w:eastAsia="zh-CN"/>
        </w:rPr>
        <w:t>第四节 推进高水平人才队伍建设</w:t>
      </w:r>
      <w:bookmarkEnd w:id="87"/>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坚持人才引进和培养两手抓的方针，瞄准新能源、新材料、绿色食品等新兴产业发展方向，推动本地高校、职业院校有针对性、前瞻性地设置相关学科和专业，合作开展订单式人才培养。积极推行“科技副总”制度，与区内外高校院所积极对接沟通，让高校院所更多科技人才担任企业“科技副总”。支持骨干企业等大力引进领军人才，力争“十五五”期间全区引进高层次人才团队10个。持续加强柔性引才，推动本地企业积极走出去，在长三角地区建设“人才飞地”“研发飞地”。持续优化全区创业环境，常态化开展“双创之星”评选工作，加强创业服务与平台建设，进一步做大做强“潘集工匠学院”，完善创业服务体系，为创业者提供全方位、多层次的创业指导、培训、融资等服务。优化人才发展环境，加强人才服务保障体系建设，在人才住房、子女教育、医疗保障等方面提供优质服务。完善人才激励机制，加大对优秀人才的表彰和奖励力度，激发人才创新创业活力。</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pStyle w:val="5"/>
              <w:bidi w:val="0"/>
              <w:rPr>
                <w:rFonts w:hint="default" w:ascii="Times New Roman" w:hAnsi="Times New Roman" w:eastAsia="楷体_GB2312" w:cs="Times New Roman"/>
                <w:szCs w:val="28"/>
              </w:rPr>
            </w:pPr>
            <w:bookmarkStart w:id="88" w:name="_Toc4399"/>
            <w:r>
              <w:rPr>
                <w:rFonts w:hint="default"/>
                <w:lang w:val="en-US" w:eastAsia="zh-CN"/>
              </w:rPr>
              <w:t>专栏4 壮大创新主体“三大工程”</w:t>
            </w:r>
            <w:bookmarkEnd w:id="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sz w:val="28"/>
                <w:szCs w:val="28"/>
              </w:rPr>
            </w:pPr>
            <w:r>
              <w:rPr>
                <w:rFonts w:hint="default" w:ascii="Times New Roman" w:hAnsi="Times New Roman" w:cs="Times New Roman"/>
                <w:b/>
                <w:bCs/>
                <w:sz w:val="28"/>
                <w:szCs w:val="28"/>
              </w:rPr>
              <w:t>科技企业“育林”工程。</w:t>
            </w:r>
            <w:r>
              <w:rPr>
                <w:rFonts w:hint="default" w:ascii="Times New Roman" w:hAnsi="Times New Roman" w:cs="Times New Roman"/>
                <w:sz w:val="28"/>
                <w:szCs w:val="28"/>
              </w:rPr>
              <w:t>建立“科小-高企-领军企业”梯度培育库，提供“一对一”全周期服务。对首次认定高企给予10万元奖励，研发费用加计扣除应享尽享。</w:t>
            </w:r>
          </w:p>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sz w:val="28"/>
                <w:szCs w:val="28"/>
              </w:rPr>
            </w:pPr>
            <w:r>
              <w:rPr>
                <w:rFonts w:hint="default" w:ascii="Times New Roman" w:hAnsi="Times New Roman" w:cs="Times New Roman"/>
                <w:b/>
                <w:bCs/>
                <w:sz w:val="28"/>
                <w:szCs w:val="28"/>
              </w:rPr>
              <w:t>研发能力“筑基”工程。</w:t>
            </w:r>
            <w:r>
              <w:rPr>
                <w:rFonts w:hint="default" w:ascii="Times New Roman" w:hAnsi="Times New Roman" w:cs="Times New Roman"/>
                <w:sz w:val="28"/>
                <w:szCs w:val="28"/>
              </w:rPr>
              <w:t>开展规上企业“研发清零”动态化管理，确保亿元以上企业100%有研发活动。联合中科院合肥物质研究院等机构共建煤化工中试基地。</w:t>
            </w:r>
          </w:p>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eastAsia="仿宋_GB2312" w:cs="Times New Roman"/>
                <w:sz w:val="28"/>
                <w:szCs w:val="28"/>
                <w:lang w:eastAsia="zh-CN"/>
              </w:rPr>
            </w:pPr>
            <w:r>
              <w:rPr>
                <w:rFonts w:hint="default" w:ascii="Times New Roman" w:hAnsi="Times New Roman" w:cs="Times New Roman"/>
                <w:b/>
                <w:bCs/>
                <w:sz w:val="28"/>
                <w:szCs w:val="28"/>
              </w:rPr>
              <w:t>开放合作“聚链”工程。</w:t>
            </w:r>
            <w:r>
              <w:rPr>
                <w:rFonts w:hint="default" w:ascii="Times New Roman" w:hAnsi="Times New Roman" w:cs="Times New Roman"/>
                <w:sz w:val="28"/>
                <w:szCs w:val="28"/>
              </w:rPr>
              <w:t>设立沪苏浙技术转移中心，每年组织产学研对接会≥3场。探索“飞地研发”模式，支持企业在长三角设立研发中心</w:t>
            </w:r>
            <w:r>
              <w:rPr>
                <w:rFonts w:hint="default" w:ascii="Times New Roman" w:hAnsi="Times New Roman" w:cs="Times New Roman"/>
                <w:sz w:val="28"/>
                <w:szCs w:val="28"/>
                <w:lang w:eastAsia="zh-CN"/>
              </w:rPr>
              <w:t>。</w:t>
            </w:r>
          </w:p>
        </w:tc>
      </w:tr>
    </w:tbl>
    <w:p>
      <w:pPr>
        <w:bidi w:val="0"/>
        <w:rPr>
          <w:rFonts w:hint="default" w:ascii="Times New Roman" w:hAnsi="Times New Roman" w:cs="Times New Roman"/>
          <w:lang w:val="en-US" w:eastAsia="zh-CN"/>
        </w:rPr>
      </w:pPr>
    </w:p>
    <w:p>
      <w:pPr>
        <w:pStyle w:val="2"/>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简体" w:cs="Times New Roman"/>
          <w:highlight w:val="yellow"/>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简体" w:cs="Times New Roman"/>
          <w:color w:val="FF0000"/>
          <w:highlight w:val="none"/>
          <w:lang w:val="en-US" w:eastAsia="zh-CN"/>
        </w:rPr>
      </w:pPr>
      <w:bookmarkStart w:id="89" w:name="_Toc16125"/>
      <w:r>
        <w:rPr>
          <w:rFonts w:hint="default" w:ascii="Times New Roman" w:hAnsi="Times New Roman" w:eastAsia="方正小标宋简体" w:cs="Times New Roman"/>
          <w:highlight w:val="none"/>
          <w:lang w:val="en-US" w:eastAsia="zh-CN"/>
        </w:rPr>
        <w:t xml:space="preserve">第五章 </w:t>
      </w:r>
      <w:r>
        <w:rPr>
          <w:rFonts w:hint="default" w:ascii="Times New Roman" w:hAnsi="Times New Roman" w:eastAsia="方正小标宋简体" w:cs="Times New Roman"/>
          <w:color w:val="auto"/>
          <w:highlight w:val="none"/>
          <w:lang w:val="en-US" w:eastAsia="zh-CN"/>
        </w:rPr>
        <w:t>进一步扩大内需，</w:t>
      </w:r>
      <w:r>
        <w:rPr>
          <w:rFonts w:hint="eastAsia" w:eastAsia="方正小标宋简体" w:cs="Times New Roman"/>
          <w:color w:val="auto"/>
          <w:highlight w:val="none"/>
          <w:lang w:val="en-US" w:eastAsia="zh-CN"/>
        </w:rPr>
        <w:t>激活经济增长</w:t>
      </w:r>
      <w:r>
        <w:rPr>
          <w:rFonts w:hint="default" w:ascii="Times New Roman" w:hAnsi="Times New Roman" w:eastAsia="方正小标宋简体" w:cs="Times New Roman"/>
          <w:color w:val="auto"/>
          <w:highlight w:val="none"/>
          <w:lang w:val="en-US" w:eastAsia="zh-CN"/>
        </w:rPr>
        <w:t>新动能</w:t>
      </w:r>
      <w:bookmarkEnd w:id="89"/>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深入落实扩大内需战略，充分发挥投资对优化供给结构的关键作用，努力扩大有效投资，突出抓重点、补短板、强弱项，着力提振消费，加快形成消费和投资相互促进的良性循环。</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90" w:name="_Toc5879"/>
      <w:r>
        <w:rPr>
          <w:rFonts w:hint="default" w:ascii="Times New Roman" w:hAnsi="Times New Roman" w:eastAsia="黑体" w:cs="Times New Roman"/>
          <w:b w:val="0"/>
          <w:bCs/>
          <w:lang w:val="en-US" w:eastAsia="zh-CN"/>
        </w:rPr>
        <w:t>第一节 持续扩大投资</w:t>
      </w:r>
      <w:bookmarkEnd w:id="90"/>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w:t>
      </w:r>
      <w:r>
        <w:rPr>
          <w:rFonts w:hint="default" w:cs="Times New Roman"/>
          <w:lang w:val="en-US" w:eastAsia="zh-CN"/>
        </w:rPr>
        <w:t>健全政府投资体系</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坚持把重点项目作为稳投资的重要抓手和有效载体，聚焦关键领域和薄弱环节</w:t>
      </w:r>
      <w:r>
        <w:rPr>
          <w:rFonts w:hint="default" w:cs="Times New Roman"/>
          <w:lang w:val="en-US" w:eastAsia="zh-CN"/>
        </w:rPr>
        <w:t>，</w:t>
      </w:r>
      <w:r>
        <w:rPr>
          <w:rFonts w:hint="default" w:ascii="Times New Roman" w:hAnsi="Times New Roman" w:cs="Times New Roman"/>
          <w:lang w:val="en-US" w:eastAsia="zh-CN"/>
        </w:rPr>
        <w:t>统筹“硬投资”和“软建设”</w:t>
      </w:r>
      <w:r>
        <w:rPr>
          <w:rFonts w:hint="default" w:cs="Times New Roman"/>
          <w:lang w:val="en-US" w:eastAsia="zh-CN"/>
        </w:rPr>
        <w:t>，在核心</w:t>
      </w:r>
      <w:r>
        <w:rPr>
          <w:rFonts w:hint="default" w:ascii="Times New Roman" w:hAnsi="Times New Roman" w:cs="Times New Roman"/>
          <w:lang w:val="en-US" w:eastAsia="zh-CN"/>
        </w:rPr>
        <w:t>技术攻关、</w:t>
      </w:r>
      <w:r>
        <w:rPr>
          <w:rFonts w:hint="default" w:cs="Times New Roman"/>
          <w:lang w:val="en-US" w:eastAsia="zh-CN"/>
        </w:rPr>
        <w:t>基础设施、生态环境、</w:t>
      </w:r>
      <w:r>
        <w:rPr>
          <w:rFonts w:hint="default" w:ascii="Times New Roman" w:hAnsi="Times New Roman" w:cs="Times New Roman"/>
          <w:lang w:val="en-US" w:eastAsia="zh-CN"/>
        </w:rPr>
        <w:t>公共服务等重点领域，积极争取超长期特别国债、专项债、中央和省预算内投资、政策性金融工具等上级政策支持，全面推进专项债券项目“自审自发”试点，谋划实施一批战略性、牵引性、标志性重大工程项目</w:t>
      </w:r>
      <w:r>
        <w:rPr>
          <w:rFonts w:hint="default" w:cs="Times New Roman"/>
          <w:lang w:val="en-US" w:eastAsia="zh-CN"/>
        </w:rPr>
        <w:t>。</w:t>
      </w:r>
      <w:r>
        <w:rPr>
          <w:rFonts w:hint="default" w:ascii="Times New Roman" w:hAnsi="Times New Roman" w:cs="Times New Roman"/>
          <w:lang w:val="en-US" w:eastAsia="zh-CN"/>
        </w:rPr>
        <w:t>抢抓新型基础设施建设重大机遇，谋划布局5G、物联网、人工智能、工业互联网。</w:t>
      </w:r>
      <w:r>
        <w:rPr>
          <w:rFonts w:hint="default" w:cs="Times New Roman"/>
          <w:lang w:val="en-US" w:eastAsia="zh-CN"/>
        </w:rPr>
        <w:t>深入实施</w:t>
      </w:r>
      <w:r>
        <w:rPr>
          <w:rFonts w:hint="default" w:ascii="Times New Roman" w:hAnsi="Times New Roman" w:cs="Times New Roman"/>
          <w:lang w:val="en-US" w:eastAsia="zh-CN"/>
        </w:rPr>
        <w:t>城市功能品质活力提升行动，加快推进棚户区和老旧小区改造、城市道路、污水垃圾处理、供排水、公共停车场、充电桩等项目建设，谋划实施一批公共卫生、应急处置等补短板项目</w:t>
      </w:r>
      <w:r>
        <w:rPr>
          <w:rFonts w:hint="default" w:cs="Times New Roman"/>
          <w:lang w:val="en-US" w:eastAsia="zh-CN"/>
        </w:rPr>
        <w:t>。</w:t>
      </w:r>
      <w:r>
        <w:rPr>
          <w:rFonts w:hint="default" w:ascii="Times New Roman" w:hAnsi="Times New Roman" w:cs="Times New Roman"/>
          <w:lang w:val="en-US" w:eastAsia="zh-CN"/>
        </w:rPr>
        <w:t>加强交通</w:t>
      </w:r>
      <w:r>
        <w:rPr>
          <w:rFonts w:hint="default" w:cs="Times New Roman"/>
          <w:lang w:val="en-US" w:eastAsia="zh-CN"/>
        </w:rPr>
        <w:t>、水利、新型能源</w:t>
      </w:r>
      <w:r>
        <w:rPr>
          <w:rFonts w:hint="default" w:ascii="Times New Roman" w:hAnsi="Times New Roman" w:cs="Times New Roman"/>
          <w:lang w:val="en-US" w:eastAsia="zh-CN"/>
        </w:rPr>
        <w:t>等</w:t>
      </w:r>
      <w:r>
        <w:rPr>
          <w:rFonts w:hint="default" w:cs="Times New Roman"/>
          <w:lang w:val="en-US" w:eastAsia="zh-CN"/>
        </w:rPr>
        <w:t>一批</w:t>
      </w:r>
      <w:r>
        <w:rPr>
          <w:rFonts w:hint="default" w:ascii="Times New Roman" w:hAnsi="Times New Roman" w:cs="Times New Roman"/>
          <w:lang w:val="en-US" w:eastAsia="zh-CN"/>
        </w:rPr>
        <w:t>重大工程建设。争取长三角能源保供基地、新材料产业园、泥河流域生态治理EOD等更多项目纳入国家和省级“盘子”。</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二、激发民间投资活力</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发挥政府投资撬动作用，激发民间投资活力，形成市场主导的投资内生增长机制</w:t>
      </w:r>
      <w:r>
        <w:rPr>
          <w:rFonts w:hint="default" w:cs="Times New Roman"/>
          <w:lang w:val="en-US" w:eastAsia="zh-CN"/>
        </w:rPr>
        <w:t>，规范实施政府和社会资本合作新机制。</w:t>
      </w:r>
      <w:r>
        <w:rPr>
          <w:rFonts w:hint="default" w:ascii="Times New Roman" w:hAnsi="Times New Roman" w:cs="Times New Roman"/>
          <w:lang w:val="en-US" w:eastAsia="zh-CN"/>
        </w:rPr>
        <w:t>进一步放开民间投资市场准入，全面落实民间投资平等市场主体待遇，分级建立重点民间投资项目库</w:t>
      </w:r>
      <w:r>
        <w:rPr>
          <w:rFonts w:hint="default" w:cs="Times New Roman"/>
          <w:lang w:val="en-US" w:eastAsia="zh-CN"/>
        </w:rPr>
        <w:t>，</w:t>
      </w:r>
      <w:r>
        <w:rPr>
          <w:rFonts w:hint="default" w:ascii="Times New Roman" w:hAnsi="Times New Roman" w:cs="Times New Roman"/>
          <w:lang w:val="en-US" w:eastAsia="zh-CN"/>
        </w:rPr>
        <w:t>加大基础设施和公用事业领域开发力度</w:t>
      </w:r>
      <w:r>
        <w:rPr>
          <w:rFonts w:hint="default" w:cs="Times New Roman"/>
          <w:lang w:val="en-US" w:eastAsia="zh-CN"/>
        </w:rPr>
        <w:t>，</w:t>
      </w:r>
      <w:r>
        <w:rPr>
          <w:rFonts w:hint="default" w:ascii="Times New Roman" w:hAnsi="Times New Roman" w:cs="Times New Roman"/>
          <w:lang w:val="en-US" w:eastAsia="zh-CN"/>
        </w:rPr>
        <w:t>鼓励和引导民间资本进入</w:t>
      </w:r>
      <w:r>
        <w:rPr>
          <w:rFonts w:hint="default" w:cs="Times New Roman"/>
          <w:lang w:val="en-US" w:eastAsia="zh-CN"/>
        </w:rPr>
        <w:t>战略性新兴产业和未来产业发展、</w:t>
      </w:r>
      <w:r>
        <w:rPr>
          <w:rFonts w:hint="default" w:ascii="Times New Roman" w:hAnsi="Times New Roman" w:cs="Times New Roman"/>
          <w:lang w:val="en-US" w:eastAsia="zh-CN"/>
        </w:rPr>
        <w:t>环境保护、能源、交通、市政公用事业、健康养老等</w:t>
      </w:r>
      <w:r>
        <w:rPr>
          <w:rFonts w:hint="default" w:cs="Times New Roman"/>
          <w:lang w:val="en-US" w:eastAsia="zh-CN"/>
        </w:rPr>
        <w:t>重大项目建设</w:t>
      </w:r>
      <w:r>
        <w:rPr>
          <w:rFonts w:hint="default" w:ascii="Times New Roman" w:hAnsi="Times New Roman" w:cs="Times New Roman"/>
          <w:lang w:val="en-US" w:eastAsia="zh-CN"/>
        </w:rPr>
        <w:t>。深化投资审批制度改革，加大简政放权力度，动态优化政府权力清单、责任清单和涉企收费清单。增强民间投资动力，加大财政支持力度，落实民间税费优惠政策</w:t>
      </w:r>
      <w:r>
        <w:rPr>
          <w:rFonts w:hint="default" w:cs="Times New Roman"/>
          <w:lang w:val="en-US" w:eastAsia="zh-CN"/>
        </w:rPr>
        <w:t>，</w:t>
      </w:r>
      <w:r>
        <w:rPr>
          <w:rFonts w:hint="default" w:ascii="Times New Roman" w:hAnsi="Times New Roman" w:cs="Times New Roman"/>
          <w:lang w:val="en-US" w:eastAsia="zh-CN"/>
        </w:rPr>
        <w:t>引导金融机构积极支持民间投资项目。</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91" w:name="_Toc8284"/>
      <w:r>
        <w:rPr>
          <w:rFonts w:hint="default" w:ascii="Times New Roman" w:hAnsi="Times New Roman" w:eastAsia="黑体" w:cs="Times New Roman"/>
          <w:b w:val="0"/>
          <w:bCs/>
          <w:lang w:val="en-US" w:eastAsia="zh-CN"/>
        </w:rPr>
        <w:t>第二节 大力提振消费</w:t>
      </w:r>
      <w:bookmarkEnd w:id="91"/>
    </w:p>
    <w:p>
      <w:pPr>
        <w:pStyle w:val="4"/>
        <w:bidi w:val="0"/>
        <w:rPr>
          <w:rFonts w:hint="default" w:ascii="Times New Roman" w:hAnsi="Times New Roman" w:cs="Times New Roman"/>
        </w:rPr>
      </w:pPr>
      <w:r>
        <w:rPr>
          <w:rFonts w:hint="default" w:ascii="Times New Roman" w:hAnsi="Times New Roman" w:cs="Times New Roman"/>
          <w:lang w:val="en-US" w:eastAsia="zh-CN"/>
        </w:rPr>
        <w:t>一、</w:t>
      </w:r>
      <w:r>
        <w:rPr>
          <w:rFonts w:hint="default" w:ascii="Times New Roman" w:hAnsi="Times New Roman" w:cs="Times New Roman"/>
        </w:rPr>
        <w:t>提质扩容传统消费</w:t>
      </w:r>
    </w:p>
    <w:p>
      <w:pPr>
        <w:pageBreakBefore w:val="0"/>
        <w:widowControl w:val="0"/>
        <w:kinsoku/>
        <w:wordWrap/>
        <w:overflowPunct/>
        <w:topLinePunct w:val="0"/>
        <w:autoSpaceDE/>
        <w:autoSpaceDN/>
        <w:bidi w:val="0"/>
        <w:adjustRightInd/>
        <w:spacing w:line="240" w:lineRule="auto"/>
        <w:ind w:left="0" w:leftChars="0" w:firstLine="643"/>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紧紧抓住消费品以旧换新政策契机，围绕家电、百货家居、住宿餐饮等领域开展系列促消费活动，鼓励企业配套开展让利促销活动，谋划发放新一轮惠民消费券，以政策撬动和场景创新释放存量消费潜力</w:t>
      </w:r>
      <w:r>
        <w:rPr>
          <w:rFonts w:hint="default" w:ascii="Times New Roman" w:hAnsi="Times New Roman" w:cs="Times New Roman"/>
          <w:color w:val="000000" w:themeColor="text1"/>
          <w:highlight w:val="none"/>
          <w14:textFill>
            <w14:solidFill>
              <w14:schemeClr w14:val="tx1"/>
            </w14:solidFill>
          </w14:textFill>
        </w:rPr>
        <w:t>。提升传统消费场景，积极改造社区商圈，加快建设社区商业中心，扎实推进城市一刻钟便民生活圈建设</w:t>
      </w:r>
      <w:r>
        <w:rPr>
          <w:rFonts w:hint="default" w:ascii="Times New Roman" w:hAnsi="Times New Roman" w:cs="Times New Roman"/>
          <w:color w:val="000000" w:themeColor="text1"/>
          <w14:textFill>
            <w14:solidFill>
              <w14:schemeClr w14:val="tx1"/>
            </w14:solidFill>
          </w14:textFill>
        </w:rPr>
        <w:t>。以信息化、人性化、智慧化方式改造临街商业街、社区农贸市场和乡镇集市，提升整体消费环境，优化商业布局形式，提升消费者体验度和获得感。充分挖掘和释放农村消费潜力，健全城乡服务消费网络，推动优质消费资源下乡，引导商贸龙头企业网点下沉和商贸流通企业向农村延伸，鼓励连锁经营企业开设乡村便民连锁经营网点，推动适应农村消费市场的品牌商品销售，完善售后保障体系。加强农产品供应链体系建设，促进工业品下乡和农产品进城双向流通，有效降低农村地区快递物流成本。</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二、培育壮大新型消费</w:t>
      </w:r>
    </w:p>
    <w:p>
      <w:pPr>
        <w:pageBreakBefore w:val="0"/>
        <w:widowControl w:val="0"/>
        <w:kinsoku/>
        <w:wordWrap/>
        <w:overflowPunct/>
        <w:topLinePunct w:val="0"/>
        <w:autoSpaceDE/>
        <w:autoSpaceDN/>
        <w:bidi w:val="0"/>
        <w:adjustRightInd/>
        <w:spacing w:line="240" w:lineRule="auto"/>
        <w:ind w:left="0" w:leftChars="0" w:firstLine="643"/>
        <w:textAlignment w:val="auto"/>
        <w:rPr>
          <w:rFonts w:hint="default" w:ascii="Times New Roman" w:hAnsi="Times New Roman" w:cs="Times New Roman"/>
          <w:b/>
          <w:bCs/>
          <w:color w:val="4874CB" w:themeColor="accent1"/>
          <w14:textFill>
            <w14:solidFill>
              <w14:schemeClr w14:val="accent1"/>
            </w14:solidFill>
          </w14:textFill>
        </w:rPr>
      </w:pPr>
      <w:r>
        <w:rPr>
          <w:rFonts w:hint="default" w:ascii="Times New Roman" w:hAnsi="Times New Roman" w:cs="Times New Roman"/>
        </w:rPr>
        <w:t>大力发展消费新业态新模式，积极参与皖美消费新场景评选活动，加快打造一批高品质消费新场景。鼓励特色商业街区改造升级，依托潘集区“十大名小吃”资源，打响经典美食（小吃）、美食体验店和系列美食旅游线路品牌，建设</w:t>
      </w:r>
      <w:r>
        <w:rPr>
          <w:rFonts w:hint="default" w:ascii="Times New Roman" w:hAnsi="Times New Roman" w:cs="Times New Roman"/>
          <w:color w:val="000000" w:themeColor="text1"/>
          <w14:textFill>
            <w14:solidFill>
              <w14:schemeClr w14:val="tx1"/>
            </w14:solidFill>
          </w14:textFill>
        </w:rPr>
        <w:t>一批特色餐饮街区。推进商旅文体融合发展，推进体育公园、全民健身中心等健身场地建设，打造一批高质量户外运动目的地，引导和扩大体育休闲消费</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持续</w:t>
      </w:r>
      <w:r>
        <w:rPr>
          <w:rFonts w:hint="default" w:ascii="Times New Roman" w:hAnsi="Times New Roman" w:cs="Times New Roman"/>
          <w:color w:val="000000" w:themeColor="text1"/>
          <w14:textFill>
            <w14:solidFill>
              <w14:schemeClr w14:val="tx1"/>
            </w14:solidFill>
          </w14:textFill>
        </w:rPr>
        <w:t>举办潘集区“美丽乡村”篮球赛（村BA）等富有农趣农味的乡村赛事活动。</w:t>
      </w:r>
      <w:r>
        <w:rPr>
          <w:rFonts w:hint="default" w:ascii="Times New Roman" w:hAnsi="Times New Roman" w:cs="Times New Roman"/>
          <w:color w:val="000000" w:themeColor="text1"/>
          <w:lang w:val="en-US" w:eastAsia="zh-CN"/>
          <w14:textFill>
            <w14:solidFill>
              <w14:schemeClr w14:val="tx1"/>
            </w14:solidFill>
          </w14:textFill>
        </w:rPr>
        <w:t>鼓励引导</w:t>
      </w:r>
      <w:r>
        <w:rPr>
          <w:rFonts w:hint="default" w:ascii="Times New Roman" w:hAnsi="Times New Roman" w:cs="Times New Roman"/>
          <w:color w:val="000000" w:themeColor="text1"/>
          <w14:textFill>
            <w14:solidFill>
              <w14:schemeClr w14:val="tx1"/>
            </w14:solidFill>
          </w14:textFill>
        </w:rPr>
        <w:t>发展自驾露营旅游、红色旅游、研学旅游、康养旅游，打造一批有影响力的主题旅游精品线路。积极发展夜间经济，依托财富时代美食街、八米路广场等“夜经济”重点集聚地段，合理规划建设富有地方特色的“夜经济”集聚区与特色商圈，重点围绕夜宵、</w:t>
      </w:r>
      <w:r>
        <w:rPr>
          <w:rFonts w:hint="default" w:ascii="Times New Roman" w:hAnsi="Times New Roman" w:cs="Times New Roman"/>
        </w:rPr>
        <w:t>夜演、夜景、夜购、夜宿，打造新的夜间生活场景。聚力推进数字消费，围绕“人工智能+消费”，推动传统商贸数字化转型，促进电子商务、直播经济、在线文娱</w:t>
      </w:r>
      <w:r>
        <w:rPr>
          <w:rFonts w:hint="default" w:ascii="Times New Roman" w:hAnsi="Times New Roman" w:cs="Times New Roman"/>
          <w:lang w:eastAsia="zh-CN"/>
        </w:rPr>
        <w:t>、</w:t>
      </w:r>
      <w:r>
        <w:rPr>
          <w:rFonts w:hint="default" w:ascii="Times New Roman" w:hAnsi="Times New Roman" w:cs="Times New Roman"/>
          <w:lang w:val="en-US" w:eastAsia="zh-CN"/>
        </w:rPr>
        <w:t>数字教育</w:t>
      </w:r>
      <w:r>
        <w:rPr>
          <w:rFonts w:hint="default" w:ascii="Times New Roman" w:hAnsi="Times New Roman" w:cs="Times New Roman"/>
        </w:rPr>
        <w:t>等数字消费规范发展，加快无人零售店、自提柜等新业态布局。大力发展绿色消费，加快先进绿色低碳技术在</w:t>
      </w:r>
      <w:r>
        <w:rPr>
          <w:rFonts w:hint="default" w:ascii="Times New Roman" w:hAnsi="Times New Roman" w:cs="Times New Roman"/>
          <w:color w:val="000000" w:themeColor="text1"/>
          <w14:textFill>
            <w14:solidFill>
              <w14:schemeClr w14:val="tx1"/>
            </w14:solidFill>
          </w14:textFill>
        </w:rPr>
        <w:t>消费场景的应用，提高家装、出行、旅游等领域绿色化水平。培育壮大健康消费，引导布局健康体检、咨询、管理等新型服务业态，推进“互联网+医疗健康”发展，进一步推进医养结合发展。</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三、营造放心消费环境</w:t>
      </w:r>
    </w:p>
    <w:p>
      <w:pPr>
        <w:pageBreakBefore w:val="0"/>
        <w:widowControl w:val="0"/>
        <w:kinsoku/>
        <w:wordWrap/>
        <w:overflowPunct/>
        <w:topLinePunct w:val="0"/>
        <w:autoSpaceDE/>
        <w:autoSpaceDN/>
        <w:bidi w:val="0"/>
        <w:adjustRightInd/>
        <w:spacing w:line="240" w:lineRule="auto"/>
        <w:ind w:left="0" w:leftChars="0" w:firstLine="643"/>
        <w:textAlignment w:val="auto"/>
        <w:rPr>
          <w:rFonts w:hint="default" w:ascii="Times New Roman" w:hAnsi="Times New Roman" w:cs="Times New Roman"/>
        </w:rPr>
      </w:pPr>
      <w:r>
        <w:rPr>
          <w:rFonts w:hint="default" w:ascii="Times New Roman" w:hAnsi="Times New Roman" w:cs="Times New Roman"/>
        </w:rPr>
        <w:t>深化消费维权体系建设，充分发挥12315平台作用，做好12315与12345热线并线运行后的日常监管系统互动、信息共享。加强投诉举报数据分析，加大“诉转案”力度，加强对消费投诉信息中违法违规线索筛查和甄别，深挖案源线索，严厉查处侵犯消费者权益的违法行为。健全消费投诉信息公示制度，在重点行业领域开展消费投诉信息集中公示，通过投诉信息集中公示，充分发挥社会监督、消费预警和信用约束作用，持续改善消费环境，逐步扩大消费投诉信息公示覆盖面。强化消费者合法权益保护，围绕网络、老年、农村和金融等消费领域，聚焦预付式消费、保健品虚假宣传、非法收集个人信息等突出问题，加强消费教育引导。围绕手机APP、快递、游学、家政、银行、保险等重点服务领域，通过有针对性的消费体察、服务评议、调查、点评等活动，有效发挥社会监督作用。聚焦侵害消费者合法权益行为，综合运用约谈、曝光等多种手段，加大消费维权力度，形成有力制约机制。</w:t>
      </w:r>
    </w:p>
    <w:p>
      <w:pPr>
        <w:bidi w:val="0"/>
        <w:rPr>
          <w:rFonts w:hint="default" w:ascii="Times New Roman" w:hAnsi="Times New Roman" w:cs="Times New Roman"/>
          <w:lang w:val="en-US" w:eastAsia="zh-CN"/>
        </w:rPr>
      </w:pPr>
    </w:p>
    <w:p>
      <w:pPr>
        <w:rPr>
          <w:rFonts w:hint="default" w:ascii="Times New Roman" w:hAnsi="Times New Roman" w:eastAsia="方正小标宋简体" w:cs="Times New Roman"/>
          <w:highlight w:val="yellow"/>
          <w:lang w:val="en-US" w:eastAsia="zh-CN"/>
        </w:rPr>
      </w:pPr>
      <w:r>
        <w:rPr>
          <w:rFonts w:hint="default" w:ascii="Times New Roman" w:hAnsi="Times New Roman" w:eastAsia="方正小标宋简体" w:cs="Times New Roman"/>
          <w:highlight w:val="yellow"/>
          <w:lang w:val="en-US" w:eastAsia="zh-CN"/>
        </w:rPr>
        <w:br w:type="page"/>
      </w:r>
    </w:p>
    <w:p>
      <w:pPr>
        <w:pStyle w:val="2"/>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简体" w:cs="Times New Roman"/>
          <w:highlight w:val="none"/>
          <w:lang w:val="en-US" w:eastAsia="zh-CN"/>
        </w:rPr>
      </w:pPr>
      <w:bookmarkStart w:id="92" w:name="_Toc12899"/>
      <w:r>
        <w:rPr>
          <w:rFonts w:hint="default" w:ascii="Times New Roman" w:hAnsi="Times New Roman" w:eastAsia="方正小标宋简体" w:cs="Times New Roman"/>
          <w:highlight w:val="none"/>
          <w:lang w:val="en-US" w:eastAsia="zh-CN"/>
        </w:rPr>
        <w:t>第</w:t>
      </w:r>
      <w:r>
        <w:rPr>
          <w:rFonts w:hint="eastAsia" w:eastAsia="方正小标宋简体" w:cs="Times New Roman"/>
          <w:highlight w:val="none"/>
          <w:lang w:val="en-US" w:eastAsia="zh-CN"/>
        </w:rPr>
        <w:t>六</w:t>
      </w:r>
      <w:r>
        <w:rPr>
          <w:rFonts w:hint="default" w:ascii="Times New Roman" w:hAnsi="Times New Roman" w:eastAsia="方正小标宋简体" w:cs="Times New Roman"/>
          <w:highlight w:val="none"/>
          <w:lang w:val="en-US" w:eastAsia="zh-CN"/>
        </w:rPr>
        <w:t xml:space="preserve">章 </w:t>
      </w:r>
      <w:r>
        <w:rPr>
          <w:rFonts w:hint="default" w:ascii="Times New Roman" w:hAnsi="Times New Roman" w:eastAsia="方正小标宋简体" w:cs="Times New Roman"/>
          <w:color w:val="auto"/>
          <w:highlight w:val="none"/>
          <w:lang w:val="en-US" w:eastAsia="zh-CN"/>
        </w:rPr>
        <w:t>推进内涵式发展，打造</w:t>
      </w:r>
      <w:r>
        <w:rPr>
          <w:rFonts w:hint="default" w:ascii="Times New Roman" w:hAnsi="Times New Roman" w:eastAsia="方正小标宋简体" w:cs="Times New Roman"/>
          <w:highlight w:val="none"/>
          <w:lang w:val="en-US" w:eastAsia="zh-CN"/>
        </w:rPr>
        <w:t>活力迸发淮南北部新城</w:t>
      </w:r>
      <w:bookmarkEnd w:id="92"/>
    </w:p>
    <w:p>
      <w:pPr>
        <w:bidi w:val="0"/>
        <w:rPr>
          <w:rFonts w:hint="default" w:ascii="Times New Roman" w:hAnsi="Times New Roman" w:cs="Times New Roman"/>
          <w:lang w:val="en-US" w:eastAsia="zh-CN"/>
        </w:rPr>
      </w:pPr>
      <w:r>
        <w:rPr>
          <w:rFonts w:hint="default" w:cs="Times New Roman"/>
          <w:lang w:val="en-US" w:eastAsia="zh-CN"/>
        </w:rPr>
        <w:t>践行</w:t>
      </w:r>
      <w:r>
        <w:rPr>
          <w:rFonts w:hint="default" w:ascii="Times New Roman" w:hAnsi="Times New Roman" w:cs="Times New Roman"/>
          <w:lang w:val="en-US" w:eastAsia="zh-CN"/>
        </w:rPr>
        <w:t>现代化人民城市</w:t>
      </w:r>
      <w:r>
        <w:rPr>
          <w:rFonts w:hint="default" w:cs="Times New Roman"/>
          <w:lang w:val="en-US" w:eastAsia="zh-CN"/>
        </w:rPr>
        <w:t>理念，</w:t>
      </w:r>
      <w:r>
        <w:rPr>
          <w:rFonts w:hint="default" w:ascii="Times New Roman" w:hAnsi="Times New Roman" w:cs="Times New Roman"/>
          <w:lang w:val="en-US" w:eastAsia="zh-CN"/>
        </w:rPr>
        <w:t>坚持以城市高质量发展为主题，以城市内涵式发展为主线，以推进城市更新为重要抓手，</w:t>
      </w:r>
      <w:r>
        <w:rPr>
          <w:rFonts w:hint="eastAsia" w:cs="Times New Roman"/>
          <w:lang w:val="en-US" w:eastAsia="zh-CN"/>
        </w:rPr>
        <w:t>重点推进</w:t>
      </w:r>
      <w:r>
        <w:rPr>
          <w:rFonts w:hint="default" w:ascii="Times New Roman" w:hAnsi="Times New Roman" w:cs="Times New Roman"/>
          <w:lang w:val="en-US" w:eastAsia="zh-CN"/>
        </w:rPr>
        <w:t>老旧小区改造、城中村整治和公共服务设施补短板</w:t>
      </w:r>
      <w:r>
        <w:rPr>
          <w:rFonts w:hint="eastAsia" w:cs="Times New Roman"/>
          <w:lang w:val="en-US" w:eastAsia="zh-CN"/>
        </w:rPr>
        <w:t>，</w:t>
      </w:r>
      <w:r>
        <w:rPr>
          <w:rFonts w:hint="default" w:cs="Times New Roman"/>
          <w:lang w:val="en-US" w:eastAsia="zh-CN"/>
        </w:rPr>
        <w:t>牢牢守住城市安全底线，</w:t>
      </w:r>
      <w:r>
        <w:rPr>
          <w:rFonts w:hint="default" w:ascii="Times New Roman" w:hAnsi="Times New Roman" w:cs="Times New Roman"/>
          <w:lang w:val="en-US" w:eastAsia="zh-CN"/>
        </w:rPr>
        <w:t>加快建设创新、宜居、美丽、韧性、文明、智慧的</w:t>
      </w:r>
      <w:r>
        <w:rPr>
          <w:rFonts w:hint="default" w:cs="Times New Roman"/>
          <w:lang w:val="en-US" w:eastAsia="zh-CN"/>
        </w:rPr>
        <w:t>现代化新潘集</w:t>
      </w:r>
      <w:r>
        <w:rPr>
          <w:rFonts w:hint="default" w:ascii="Times New Roman" w:hAnsi="Times New Roman" w:cs="Times New Roman"/>
          <w:lang w:val="en-US" w:eastAsia="zh-CN"/>
        </w:rPr>
        <w:t>。</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lang w:val="en-US" w:eastAsia="zh-CN"/>
        </w:rPr>
      </w:pPr>
      <w:bookmarkStart w:id="93" w:name="_Toc2840"/>
      <w:r>
        <w:rPr>
          <w:rFonts w:hint="default" w:ascii="Times New Roman" w:hAnsi="Times New Roman" w:eastAsia="黑体" w:cs="Times New Roman"/>
          <w:b w:val="0"/>
          <w:bCs/>
          <w:lang w:val="en-US" w:eastAsia="zh-CN"/>
        </w:rPr>
        <w:t>第一节 构建“11362”城镇村空间布局</w:t>
      </w:r>
      <w:bookmarkEnd w:id="93"/>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以现有城镇发展格局为基础，适应人口总量、结构变化、流动趋势，推进以人为核心的新型城镇化，全面提升城镇化发展质量，结合城镇建设适宜性评价，完善城镇等级规模结构，加快形成“主城区—副城区—重点镇—特色镇”四级城镇等级体系，至2035年，全区基本构建“11362”的网络化开放式集约型城镇空间格局，即：1个田集主城区—1个平圩副城区—3个重点镇（高皇镇、古沟回族乡、架河镇）—6个特色镇（祁集镇、芦集镇、夹沟镇、泥河镇、潘集镇、贺疃镇）—结合村庄未来发展，培育打造200个自然村。着力提升田集主城区城市品质，提高产业用地比例，塑造具有区域影响力的高品质宜居空间。平圩副城区重点提升基本公共服务水平，加快补齐城市公共服务设施、市政公用设施等短板弱项，提高综合承载能力。集中各类要素资源推动重点镇发展壮大，支持建设一批特色鲜明、绿色生态、美丽宜居的特色小城镇，探索强镇带弱镇（乡）、多镇（乡）联合等组团发展模式，做大做强镇域经济。</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val="0"/>
          <w:sz w:val="30"/>
          <w:szCs w:val="30"/>
          <w:lang w:val="en-US" w:eastAsia="zh-CN"/>
        </w:rPr>
      </w:pPr>
      <w:r>
        <w:rPr>
          <w:rFonts w:hint="default" w:ascii="Times New Roman" w:hAnsi="Times New Roman" w:cs="Times New Roman"/>
        </w:rPr>
        <w:drawing>
          <wp:anchor distT="0" distB="0" distL="114935" distR="114935" simplePos="0" relativeHeight="251663360" behindDoc="0" locked="0" layoutInCell="1" allowOverlap="1">
            <wp:simplePos x="0" y="0"/>
            <wp:positionH relativeFrom="page">
              <wp:align>center</wp:align>
            </wp:positionH>
            <wp:positionV relativeFrom="margin">
              <wp:align>top</wp:align>
            </wp:positionV>
            <wp:extent cx="4978400" cy="3959860"/>
            <wp:effectExtent l="0" t="0" r="12700" b="254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914400" y="1443990"/>
                      <a:ext cx="4978400" cy="3959860"/>
                    </a:xfrm>
                    <a:prstGeom prst="rect">
                      <a:avLst/>
                    </a:prstGeom>
                    <a:noFill/>
                    <a:ln>
                      <a:noFill/>
                    </a:ln>
                  </pic:spPr>
                </pic:pic>
              </a:graphicData>
            </a:graphic>
          </wp:anchor>
        </w:drawing>
      </w:r>
      <w:r>
        <w:rPr>
          <w:rFonts w:hint="default" w:ascii="Times New Roman" w:hAnsi="Times New Roman" w:eastAsia="黑体" w:cs="Times New Roman"/>
          <w:b w:val="0"/>
          <w:bCs w:val="0"/>
          <w:sz w:val="30"/>
          <w:szCs w:val="30"/>
          <w:lang w:val="en-US" w:eastAsia="zh-CN"/>
        </w:rPr>
        <w:t>图</w:t>
      </w:r>
      <w:r>
        <w:rPr>
          <w:rFonts w:hint="default" w:eastAsia="黑体" w:cs="Times New Roman"/>
          <w:b w:val="0"/>
          <w:bCs w:val="0"/>
          <w:sz w:val="30"/>
          <w:szCs w:val="30"/>
          <w:lang w:val="en-US" w:eastAsia="zh-CN"/>
        </w:rPr>
        <w:t>3</w:t>
      </w:r>
      <w:r>
        <w:rPr>
          <w:rFonts w:hint="default" w:ascii="Times New Roman" w:hAnsi="Times New Roman" w:eastAsia="黑体" w:cs="Times New Roman"/>
          <w:b w:val="0"/>
          <w:bCs w:val="0"/>
          <w:sz w:val="30"/>
          <w:szCs w:val="30"/>
          <w:lang w:val="en-US" w:eastAsia="zh-CN"/>
        </w:rPr>
        <w:t xml:space="preserve"> 完善“11362”的城镇村空间体系</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color w:val="auto"/>
          <w:lang w:val="en-US" w:eastAsia="zh-CN"/>
        </w:rPr>
      </w:pPr>
      <w:bookmarkStart w:id="94" w:name="_Toc18511"/>
      <w:r>
        <w:rPr>
          <w:rFonts w:hint="default" w:ascii="Times New Roman" w:hAnsi="Times New Roman" w:eastAsia="黑体" w:cs="Times New Roman"/>
          <w:b w:val="0"/>
          <w:bCs/>
          <w:color w:val="auto"/>
          <w:lang w:val="en-US" w:eastAsia="zh-CN"/>
        </w:rPr>
        <w:t>第二节 增强城市功能品质活力</w:t>
      </w:r>
      <w:bookmarkEnd w:id="94"/>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一、加速实施城市更新行动</w:t>
      </w:r>
    </w:p>
    <w:p>
      <w:pPr>
        <w:bidi w:val="0"/>
        <w:rPr>
          <w:rFonts w:hint="default" w:ascii="Times New Roman" w:hAnsi="Times New Roman" w:cs="Times New Roman"/>
          <w:lang w:val="en-US" w:eastAsia="zh-CN"/>
        </w:rPr>
      </w:pPr>
      <w:r>
        <w:rPr>
          <w:rFonts w:hint="default" w:cs="Times New Roman"/>
          <w:b w:val="0"/>
          <w:bCs w:val="0"/>
          <w:highlight w:val="none"/>
          <w:lang w:val="en-US" w:eastAsia="zh-CN"/>
        </w:rPr>
        <w:t>持续</w:t>
      </w:r>
      <w:r>
        <w:rPr>
          <w:rFonts w:hint="default" w:ascii="Times New Roman" w:hAnsi="Times New Roman" w:cs="Times New Roman"/>
          <w:highlight w:val="none"/>
          <w:lang w:val="en-US" w:eastAsia="zh-CN"/>
        </w:rPr>
        <w:t>做好刘圩、杨圩、刘庙等棚户区拆迁安置，系统推进</w:t>
      </w:r>
      <w:r>
        <w:rPr>
          <w:rFonts w:hint="default" w:cs="Times New Roman"/>
          <w:highlight w:val="none"/>
          <w:lang w:val="en-US" w:eastAsia="zh-CN"/>
        </w:rPr>
        <w:t>白云、碧海</w:t>
      </w:r>
      <w:r>
        <w:rPr>
          <w:rFonts w:hint="default" w:ascii="Times New Roman" w:hAnsi="Times New Roman" w:cs="Times New Roman"/>
          <w:highlight w:val="none"/>
          <w:lang w:val="en-US" w:eastAsia="zh-CN"/>
        </w:rPr>
        <w:t>等41个老旧小区改造工程</w:t>
      </w:r>
      <w:r>
        <w:rPr>
          <w:rFonts w:hint="default" w:ascii="Times New Roman" w:hAnsi="Times New Roman" w:cs="Times New Roman"/>
          <w:lang w:val="en-US" w:eastAsia="zh-CN"/>
        </w:rPr>
        <w:t>，支持有条件的楼栋加装电梯</w:t>
      </w:r>
      <w:r>
        <w:rPr>
          <w:rFonts w:hint="eastAsia" w:cs="Times New Roman"/>
          <w:lang w:val="en-US" w:eastAsia="zh-CN"/>
        </w:rPr>
        <w:t>，</w:t>
      </w:r>
      <w:r>
        <w:rPr>
          <w:rFonts w:hint="default" w:ascii="Times New Roman" w:hAnsi="Times New Roman" w:cs="Times New Roman"/>
          <w:lang w:val="en-US" w:eastAsia="zh-CN"/>
        </w:rPr>
        <w:t>完善小区停车、充电、消防、通信等配套基础设施</w:t>
      </w:r>
      <w:r>
        <w:rPr>
          <w:rFonts w:hint="eastAsia" w:cs="Times New Roman"/>
          <w:lang w:val="en-US" w:eastAsia="zh-CN"/>
        </w:rPr>
        <w:t>，</w:t>
      </w:r>
      <w:r>
        <w:rPr>
          <w:rFonts w:hint="default" w:ascii="Times New Roman" w:hAnsi="Times New Roman" w:cs="Times New Roman"/>
          <w:lang w:val="en-US" w:eastAsia="zh-CN"/>
        </w:rPr>
        <w:t>加强老旧小区改造质量安全监管，压实各参建单位责任。积极推进城中村改造，</w:t>
      </w:r>
      <w:r>
        <w:rPr>
          <w:rFonts w:hint="default" w:ascii="Times New Roman" w:hAnsi="Times New Roman" w:cs="Times New Roman"/>
          <w:highlight w:val="none"/>
          <w:lang w:val="en-US" w:eastAsia="zh-CN"/>
        </w:rPr>
        <w:t>适时启动大别山东侧西扬圩村等7个城中村改造项目</w:t>
      </w:r>
      <w:r>
        <w:rPr>
          <w:rFonts w:hint="default" w:ascii="Times New Roman" w:hAnsi="Times New Roman" w:cs="Times New Roman"/>
          <w:lang w:val="en-US" w:eastAsia="zh-CN"/>
        </w:rPr>
        <w:t>，做好历史文化风貌保护前期工作，不搞大拆大建，“一村一策”采取拆除新建、整治提升、拆整结合等方式实施改造，加快实施群众改造意愿强烈、城市资金能平衡、征收补偿方案成熟的城中村改造项目</w:t>
      </w:r>
      <w:r>
        <w:rPr>
          <w:rFonts w:hint="eastAsia" w:cs="Times New Roman"/>
          <w:lang w:val="en-US" w:eastAsia="zh-CN"/>
        </w:rPr>
        <w:t>，</w:t>
      </w:r>
      <w:r>
        <w:rPr>
          <w:rFonts w:hint="default" w:ascii="Times New Roman" w:hAnsi="Times New Roman" w:cs="Times New Roman"/>
          <w:lang w:val="en-US" w:eastAsia="zh-CN"/>
        </w:rPr>
        <w:t>同步配建社区服务中心、停车场等配套设施。鼓励以市场化方式推动老旧厂区更新改造，有序改造提升老旧厂区1处，转型升级4处产业用地，集中整治5处产业用地，统筹再利用4处低效用地</w:t>
      </w:r>
      <w:r>
        <w:rPr>
          <w:rFonts w:hint="eastAsia" w:cs="Times New Roman"/>
          <w:lang w:val="en-US" w:eastAsia="zh-CN"/>
        </w:rPr>
        <w:t>；</w:t>
      </w:r>
      <w:r>
        <w:rPr>
          <w:rFonts w:hint="default" w:ascii="Times New Roman" w:hAnsi="Times New Roman" w:cs="Times New Roman"/>
          <w:lang w:val="en-US" w:eastAsia="zh-CN"/>
        </w:rPr>
        <w:t>加强工业遗产保护利用，盘活利用闲置低效厂区、厂房和设施，谋划植入工业旅游、文创园区等新业态新功能。优化住房保障服务，完善租购并举、综合施策，推进春光花园二期等项目开工建设，有效增加保障性住房供给，规范住房租赁市场。</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w:t>
      </w:r>
      <w:r>
        <w:rPr>
          <w:rFonts w:hint="eastAsia" w:cs="Times New Roman"/>
          <w:lang w:val="en-US" w:eastAsia="zh-CN"/>
        </w:rPr>
        <w:t>完善城市公共服务设施</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开展城市社区嵌入式服务设施建设</w:t>
      </w:r>
      <w:r>
        <w:rPr>
          <w:rFonts w:hint="eastAsia" w:cs="Times New Roman"/>
          <w:lang w:val="en-US" w:eastAsia="zh-CN"/>
        </w:rPr>
        <w:t>，</w:t>
      </w:r>
      <w:r>
        <w:rPr>
          <w:rFonts w:hint="default" w:ascii="Times New Roman" w:hAnsi="Times New Roman" w:cs="Times New Roman"/>
          <w:lang w:val="en-US" w:eastAsia="zh-CN"/>
        </w:rPr>
        <w:t>整合社区用房、产权置换、征收改建等方式，鼓励引导产权人充分利用现有房屋场地，将符合条件的场所优先转为社区嵌入式服务设施补</w:t>
      </w:r>
      <w:r>
        <w:rPr>
          <w:rFonts w:hint="eastAsia" w:cs="Times New Roman"/>
          <w:lang w:val="en-US" w:eastAsia="zh-CN"/>
        </w:rPr>
        <w:t>，</w:t>
      </w:r>
      <w:r>
        <w:rPr>
          <w:rFonts w:hint="eastAsia" w:ascii="Times New Roman" w:hAnsi="Times New Roman" w:cs="Times New Roman"/>
          <w:lang w:val="en-US" w:eastAsia="zh-CN"/>
        </w:rPr>
        <w:t>补齐</w:t>
      </w:r>
      <w:r>
        <w:rPr>
          <w:rFonts w:hint="default" w:ascii="Times New Roman" w:hAnsi="Times New Roman" w:cs="Times New Roman"/>
          <w:lang w:val="en-US" w:eastAsia="zh-CN"/>
        </w:rPr>
        <w:t>社区基本公共服务设施</w:t>
      </w:r>
      <w:r>
        <w:rPr>
          <w:rFonts w:hint="eastAsia" w:cs="Times New Roman"/>
          <w:lang w:val="en-US" w:eastAsia="zh-CN"/>
        </w:rPr>
        <w:t>、</w:t>
      </w:r>
      <w:r>
        <w:rPr>
          <w:rFonts w:hint="default" w:ascii="Times New Roman" w:hAnsi="Times New Roman" w:cs="Times New Roman"/>
          <w:lang w:val="en-US" w:eastAsia="zh-CN"/>
        </w:rPr>
        <w:t>便民商业服务设施、公共活动场地</w:t>
      </w:r>
      <w:r>
        <w:rPr>
          <w:rFonts w:hint="default" w:cs="Times New Roman"/>
          <w:lang w:val="en-US" w:eastAsia="zh-CN"/>
        </w:rPr>
        <w:t>、社区一站式服务大厅</w:t>
      </w:r>
      <w:r>
        <w:rPr>
          <w:rFonts w:hint="default" w:ascii="Times New Roman" w:hAnsi="Times New Roman" w:cs="Times New Roman"/>
          <w:lang w:val="en-US" w:eastAsia="zh-CN"/>
        </w:rPr>
        <w:t>等</w:t>
      </w:r>
      <w:r>
        <w:rPr>
          <w:rFonts w:hint="eastAsia" w:cs="Times New Roman"/>
          <w:lang w:val="en-US" w:eastAsia="zh-CN"/>
        </w:rPr>
        <w:t>，完善城市一刻钟便民生活圈。</w:t>
      </w:r>
      <w:r>
        <w:rPr>
          <w:rFonts w:hint="default" w:ascii="Times New Roman" w:hAnsi="Times New Roman" w:cs="Times New Roman"/>
          <w:lang w:val="en-US" w:eastAsia="zh-CN"/>
        </w:rPr>
        <w:t>推进完整社区建设，新增1个托儿所、7个幼儿园、8个社区卫生服务站</w:t>
      </w:r>
      <w:r>
        <w:rPr>
          <w:rFonts w:hint="eastAsia" w:cs="Times New Roman"/>
          <w:lang w:val="en-US" w:eastAsia="zh-CN"/>
        </w:rPr>
        <w:t>、9个社区综合服务站；</w:t>
      </w:r>
      <w:r>
        <w:rPr>
          <w:rFonts w:hint="default" w:ascii="Times New Roman" w:hAnsi="Times New Roman" w:cs="Times New Roman"/>
          <w:lang w:val="en-US" w:eastAsia="zh-CN"/>
        </w:rPr>
        <w:t>扎实开展安理工附属医院潘集分院、第五人民医院</w:t>
      </w:r>
      <w:r>
        <w:rPr>
          <w:rFonts w:hint="eastAsia" w:cs="Times New Roman"/>
          <w:lang w:val="en-US" w:eastAsia="zh-CN"/>
        </w:rPr>
        <w:t>等6所医院</w:t>
      </w:r>
      <w:r>
        <w:rPr>
          <w:rFonts w:hint="default" w:ascii="Times New Roman" w:hAnsi="Times New Roman" w:cs="Times New Roman"/>
          <w:lang w:val="en-US" w:eastAsia="zh-CN"/>
        </w:rPr>
        <w:t>改造提升</w:t>
      </w:r>
      <w:r>
        <w:rPr>
          <w:rFonts w:hint="eastAsia" w:cs="Times New Roman"/>
          <w:lang w:val="en-US" w:eastAsia="zh-CN"/>
        </w:rPr>
        <w:t>；</w:t>
      </w:r>
      <w:r>
        <w:rPr>
          <w:rFonts w:hint="default" w:ascii="Times New Roman" w:hAnsi="Times New Roman" w:cs="Times New Roman"/>
          <w:lang w:val="en-US" w:eastAsia="zh-CN"/>
        </w:rPr>
        <w:t>加快珠江路九年制学校、中山中学小学部、改建第二十中学等3所学校建设</w:t>
      </w:r>
      <w:r>
        <w:rPr>
          <w:rFonts w:hint="eastAsia" w:cs="Times New Roman"/>
          <w:lang w:val="en-US" w:eastAsia="zh-CN"/>
        </w:rPr>
        <w:t>，新建小学1所；</w:t>
      </w:r>
      <w:r>
        <w:rPr>
          <w:rFonts w:hint="default" w:ascii="Times New Roman" w:hAnsi="Times New Roman" w:cs="Times New Roman"/>
          <w:lang w:val="en-US" w:eastAsia="zh-CN"/>
        </w:rPr>
        <w:t>合理配置养老服务设施，</w:t>
      </w:r>
      <w:r>
        <w:rPr>
          <w:rFonts w:hint="eastAsia" w:cs="Times New Roman"/>
          <w:lang w:val="en-US" w:eastAsia="zh-CN"/>
        </w:rPr>
        <w:t>新增15个老年服务站，</w:t>
      </w:r>
      <w:r>
        <w:rPr>
          <w:rFonts w:hint="default" w:ascii="Times New Roman" w:hAnsi="Times New Roman" w:cs="Times New Roman"/>
          <w:lang w:val="en-US" w:eastAsia="zh-CN"/>
        </w:rPr>
        <w:t>推动城区西北处新建1处养老服务中心，依托安理工附属医院潘集分院新建1处区级养老院，增设助餐、家政等公共服务设施</w:t>
      </w:r>
      <w:r>
        <w:rPr>
          <w:rFonts w:hint="eastAsia" w:cs="Times New Roman"/>
          <w:lang w:val="en-US" w:eastAsia="zh-CN"/>
        </w:rPr>
        <w:t>；推进青少年宫、</w:t>
      </w:r>
      <w:r>
        <w:rPr>
          <w:rFonts w:hint="default" w:ascii="Times New Roman" w:hAnsi="Times New Roman" w:cs="Times New Roman"/>
          <w:lang w:val="en-US" w:eastAsia="zh-CN"/>
        </w:rPr>
        <w:t>潘集文化馆</w:t>
      </w:r>
      <w:r>
        <w:rPr>
          <w:rFonts w:hint="eastAsia" w:cs="Times New Roman"/>
          <w:lang w:val="en-US" w:eastAsia="zh-CN"/>
        </w:rPr>
        <w:t>改造提升，</w:t>
      </w:r>
      <w:r>
        <w:rPr>
          <w:rFonts w:hint="default" w:ascii="Times New Roman" w:hAnsi="Times New Roman" w:cs="Times New Roman"/>
          <w:lang w:val="en-US" w:eastAsia="zh-CN"/>
        </w:rPr>
        <w:t>建设安全健康、设施完善、管理有序的完整社区</w:t>
      </w:r>
      <w:r>
        <w:rPr>
          <w:rFonts w:hint="eastAsia" w:cs="Times New Roman"/>
          <w:lang w:val="en-US" w:eastAsia="zh-CN"/>
        </w:rPr>
        <w:t>，</w:t>
      </w:r>
      <w:r>
        <w:rPr>
          <w:rFonts w:hint="default" w:ascii="Times New Roman" w:hAnsi="Times New Roman" w:cs="Times New Roman"/>
          <w:lang w:val="en-US" w:eastAsia="zh-CN"/>
        </w:rPr>
        <w:t>提升公共服务设施。</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三、提能扩级城市基础设施</w:t>
      </w:r>
    </w:p>
    <w:p>
      <w:pPr>
        <w:bidi w:val="0"/>
        <w:rPr>
          <w:rFonts w:hint="default" w:ascii="Times New Roman" w:hAnsi="Times New Roman" w:cs="Times New Roman"/>
          <w:lang w:val="en-US" w:eastAsia="zh-CN"/>
        </w:rPr>
      </w:pPr>
      <w:r>
        <w:rPr>
          <w:rFonts w:hint="eastAsia" w:ascii="楷体_GB2312" w:hAnsi="楷体_GB2312" w:eastAsia="楷体_GB2312" w:cs="楷体_GB2312"/>
          <w:b/>
          <w:bCs/>
          <w:lang w:val="en-US" w:eastAsia="zh-CN"/>
        </w:rPr>
        <w:t>优化城市交通网络。</w:t>
      </w:r>
      <w:r>
        <w:rPr>
          <w:rFonts w:hint="default" w:ascii="Times New Roman" w:hAnsi="Times New Roman" w:cs="Times New Roman"/>
          <w:lang w:val="en-US" w:eastAsia="zh-CN"/>
        </w:rPr>
        <w:t>加强城市道路等基础设施的维护和升级，打通一批断头路、畅通微循环，全力贯通黄山路南段、大别山路北段、珠江路西段、黄河路中段等道路，整治提升长江路、黄山路、黄河路、珠江路、九华山路、大别山路等主干道，有序开展天门山路等项目前期研究工作。完善公共交通体系，增加公交线路和站点，提高公共交通覆盖率</w:t>
      </w:r>
      <w:r>
        <w:rPr>
          <w:rFonts w:hint="default" w:cs="Times New Roman"/>
          <w:lang w:val="en-US" w:eastAsia="zh-CN"/>
        </w:rPr>
        <w:t>。</w:t>
      </w:r>
      <w:r>
        <w:rPr>
          <w:rFonts w:hint="default" w:ascii="Times New Roman" w:hAnsi="Times New Roman" w:cs="Times New Roman"/>
          <w:lang w:val="en-US" w:eastAsia="zh-CN"/>
        </w:rPr>
        <w:t>深入推进便民停车行动，到2030年新增停车泊位XX个，其中公共泊位XX个，新增公共充电桩</w:t>
      </w:r>
      <w:r>
        <w:rPr>
          <w:rFonts w:hint="eastAsia" w:cs="Times New Roman"/>
          <w:lang w:val="en-US" w:eastAsia="zh-CN"/>
        </w:rPr>
        <w:t>9</w:t>
      </w:r>
      <w:r>
        <w:rPr>
          <w:rFonts w:hint="default" w:ascii="Times New Roman" w:hAnsi="Times New Roman" w:cs="Times New Roman"/>
          <w:lang w:val="en-US" w:eastAsia="zh-CN"/>
        </w:rPr>
        <w:t>个。</w:t>
      </w:r>
    </w:p>
    <w:p>
      <w:pPr>
        <w:bidi w:val="0"/>
        <w:rPr>
          <w:rFonts w:hint="default" w:ascii="Times New Roman" w:hAnsi="Times New Roman" w:eastAsia="仿宋_GB2312" w:cs="Times New Roman"/>
          <w:lang w:val="en-US" w:eastAsia="zh-CN"/>
        </w:rPr>
      </w:pPr>
      <w:r>
        <w:rPr>
          <w:rFonts w:hint="eastAsia" w:ascii="楷体_GB2312" w:hAnsi="楷体_GB2312" w:eastAsia="楷体_GB2312" w:cs="楷体_GB2312"/>
          <w:b/>
          <w:bCs/>
          <w:lang w:val="en-US" w:eastAsia="zh-CN"/>
        </w:rPr>
        <w:t>完善市政基础设施建设。</w:t>
      </w:r>
      <w:r>
        <w:rPr>
          <w:rFonts w:hint="default" w:ascii="Times New Roman" w:hAnsi="Times New Roman" w:cs="Times New Roman"/>
          <w:lang w:val="en-US" w:eastAsia="zh-CN"/>
        </w:rPr>
        <w:t>加快城市燃气、供水、排水、污水、供热等地下管线管网和地下综合管廊建设改造</w:t>
      </w:r>
      <w:r>
        <w:rPr>
          <w:rFonts w:hint="eastAsia" w:cs="Times New Roman"/>
          <w:lang w:val="en-US" w:eastAsia="zh-CN"/>
        </w:rPr>
        <w:t>，</w:t>
      </w:r>
      <w:r>
        <w:rPr>
          <w:rFonts w:hint="default" w:ascii="Times New Roman" w:hAnsi="Times New Roman" w:cs="Times New Roman"/>
          <w:lang w:val="en-US" w:eastAsia="zh-CN"/>
        </w:rPr>
        <w:t>强化建筑屋面防水改造、外立面修缮、雨污管网更新及适老化设施增设</w:t>
      </w:r>
      <w:r>
        <w:rPr>
          <w:rFonts w:hint="eastAsia" w:cs="Times New Roman"/>
          <w:lang w:val="en-US" w:eastAsia="zh-CN"/>
        </w:rPr>
        <w:t>。提升环卫设施，实施4个垃圾中转站改造提升，新建珠江路东垃圾中转站。提升水务工程建设，</w:t>
      </w:r>
      <w:r>
        <w:rPr>
          <w:rFonts w:hint="default" w:ascii="Times New Roman" w:hAnsi="Times New Roman" w:cs="Times New Roman"/>
          <w:lang w:val="en-US" w:eastAsia="zh-CN"/>
        </w:rPr>
        <w:t>加速推进袁庄水厂改扩建工程，实施潘集污水处理厂扩建</w:t>
      </w:r>
      <w:r>
        <w:rPr>
          <w:rFonts w:hint="eastAsia" w:cs="Times New Roman"/>
          <w:lang w:val="en-US" w:eastAsia="zh-CN"/>
        </w:rPr>
        <w:t>；推进</w:t>
      </w:r>
      <w:r>
        <w:rPr>
          <w:rFonts w:hint="default" w:ascii="Times New Roman" w:hAnsi="Times New Roman" w:cs="Times New Roman"/>
          <w:lang w:val="en-US" w:eastAsia="zh-CN"/>
        </w:rPr>
        <w:t>老城区雨污合流管道改造项目和老城区污水管网整治提升工程</w:t>
      </w:r>
      <w:r>
        <w:rPr>
          <w:rFonts w:hint="eastAsia" w:cs="Times New Roman"/>
          <w:lang w:val="en-US" w:eastAsia="zh-CN"/>
        </w:rPr>
        <w:t>；推进珠江路及黄河路雨水改造工程、河道沟渠疏通工程，完善城市雨水管网建设</w:t>
      </w:r>
      <w:r>
        <w:rPr>
          <w:rFonts w:hint="default" w:ascii="Times New Roman" w:hAnsi="Times New Roman" w:cs="Times New Roman"/>
          <w:lang w:val="en-US" w:eastAsia="zh-CN"/>
        </w:rPr>
        <w:t>。提供坚实的用电保障</w:t>
      </w:r>
      <w:r>
        <w:rPr>
          <w:rFonts w:hint="eastAsia" w:cs="Times New Roman"/>
          <w:lang w:val="en-US" w:eastAsia="zh-CN"/>
        </w:rPr>
        <w:t>，</w:t>
      </w:r>
      <w:r>
        <w:rPr>
          <w:rFonts w:hint="default" w:ascii="Times New Roman" w:hAnsi="Times New Roman" w:cs="Times New Roman"/>
          <w:lang w:val="en-US" w:eastAsia="zh-CN"/>
        </w:rPr>
        <w:t>梳理整治架空线路，更换老化、破损的电缆，更换老旧的变压器、开关柜、配电箱等设备</w:t>
      </w:r>
      <w:r>
        <w:rPr>
          <w:rFonts w:hint="eastAsia" w:cs="Times New Roman"/>
          <w:lang w:val="en-US" w:eastAsia="zh-CN"/>
        </w:rPr>
        <w:t>，</w:t>
      </w:r>
      <w:r>
        <w:rPr>
          <w:rFonts w:hint="default" w:ascii="Times New Roman" w:hAnsi="Times New Roman" w:cs="Times New Roman"/>
          <w:lang w:val="en-US" w:eastAsia="zh-CN"/>
        </w:rPr>
        <w:t>改造老旧线路。加强公共消防设施建设，新建潘西城市标准消防站，老城微型消防站，新建固定应急避难场所2处。强化应急通行能力</w:t>
      </w:r>
      <w:r>
        <w:rPr>
          <w:rFonts w:hint="eastAsia" w:cs="Times New Roman"/>
          <w:lang w:val="en-US" w:eastAsia="zh-CN"/>
        </w:rPr>
        <w:t>，</w:t>
      </w:r>
      <w:r>
        <w:rPr>
          <w:rFonts w:hint="default" w:ascii="Times New Roman" w:hAnsi="Times New Roman" w:cs="Times New Roman"/>
          <w:lang w:val="en-US" w:eastAsia="zh-CN"/>
        </w:rPr>
        <w:t>开展老城区3条背街小巷整治改造提升，包括中央花园小区街巷、潘集区实验小学北侧街巷、祥苑社区街巷，拓宽消防通道，形成高效智慧的交通网络。</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四、加快修复城市生态系统</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加强水环境治理</w:t>
      </w:r>
      <w:r>
        <w:rPr>
          <w:rFonts w:hint="eastAsia" w:cs="Times New Roman"/>
          <w:lang w:val="en-US" w:eastAsia="zh-CN"/>
        </w:rPr>
        <w:t>，</w:t>
      </w:r>
      <w:r>
        <w:rPr>
          <w:rFonts w:hint="default" w:ascii="Times New Roman" w:hAnsi="Times New Roman" w:cs="Times New Roman"/>
          <w:lang w:val="en-US" w:eastAsia="zh-CN"/>
        </w:rPr>
        <w:t>持续推进污水处理提质增效，全面开展城市黑臭水体大排查，加快实施顾高新河周边环境整治提升、泥河周边环境整治提升以及杨圩大沟、朱家大沟、五一大沟水环境治理工程，系统解决污水直排、垃圾入沟等问题</w:t>
      </w:r>
      <w:r>
        <w:rPr>
          <w:rFonts w:hint="eastAsia" w:cs="Times New Roman"/>
          <w:lang w:val="en-US" w:eastAsia="zh-CN"/>
        </w:rPr>
        <w:t>，</w:t>
      </w:r>
      <w:r>
        <w:rPr>
          <w:rFonts w:hint="default" w:ascii="Times New Roman" w:hAnsi="Times New Roman" w:cs="Times New Roman"/>
          <w:lang w:val="en-US" w:eastAsia="zh-CN"/>
        </w:rPr>
        <w:t>开展常态化水质检测，加密检测点位和频次，适时动态掌握水质变化情况，及时溯源治理</w:t>
      </w:r>
      <w:r>
        <w:rPr>
          <w:rFonts w:hint="eastAsia" w:cs="Times New Roman"/>
          <w:lang w:val="en-US" w:eastAsia="zh-CN"/>
        </w:rPr>
        <w:t>。</w:t>
      </w:r>
      <w:r>
        <w:rPr>
          <w:rFonts w:hint="default" w:ascii="Times New Roman" w:hAnsi="Times New Roman" w:cs="Times New Roman"/>
          <w:lang w:val="en-US" w:eastAsia="zh-CN"/>
        </w:rPr>
        <w:t>持续推进城市公园和</w:t>
      </w:r>
      <w:r>
        <w:rPr>
          <w:rFonts w:hint="eastAsia" w:cs="Times New Roman"/>
          <w:lang w:val="en-US" w:eastAsia="zh-CN"/>
        </w:rPr>
        <w:t>街头绿地</w:t>
      </w:r>
      <w:r>
        <w:rPr>
          <w:rFonts w:hint="default" w:ascii="Times New Roman" w:hAnsi="Times New Roman" w:cs="Times New Roman"/>
          <w:lang w:val="en-US" w:eastAsia="zh-CN"/>
        </w:rPr>
        <w:t>建设，</w:t>
      </w:r>
      <w:r>
        <w:rPr>
          <w:rFonts w:hint="eastAsia" w:cs="Times New Roman"/>
          <w:lang w:val="en-US" w:eastAsia="zh-CN"/>
        </w:rPr>
        <w:t>新建10处公园和10条绿道，</w:t>
      </w:r>
      <w:r>
        <w:rPr>
          <w:rFonts w:hint="default" w:ascii="Times New Roman" w:hAnsi="Times New Roman" w:cs="Times New Roman"/>
          <w:lang w:val="en-US" w:eastAsia="zh-CN"/>
        </w:rPr>
        <w:t>提升改造健康主题公园，构建“公园+绿道+口袋空间”的多层次生态网络。推进海绵城市建设，统筹城市防洪和内涝治理，建立健全城区水系、排水管网与周边河湖等联排联调运行管理模式，加快一批排水防涝设施建设改造，构建完善的城市防洪排涝体系，提升应急处置能力。</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五、保护传承城市历史文化</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立足古沟非遗泥老虎农业主题产业园、潘集区非遗馆、非遗传承基地等优势基础，谋划制定非遗保护规划，明确阶段性目标任务。探索建立“政府补助+社会捐赠+市场化收益”多元投入机制，鼓励社会资本参与潘集非物质文化遗产的抢救、保护、传承与开发利用，鼓励企业、社会组织参与非遗传承保护，形成政府主导、社会参与的多元传承保护格局。创新宣传方式，利用短视频平台、社交媒体等，制作非遗宣传内容，组织开展系列非遗文化活动，鼓励支持传承人开设非遗工坊，切实做好非遗宣传推广和体验传习工作，普及非遗保护知识，提高公众认知。探索实施“非遗+”战略，将非遗与群众生活、研学旅游、乡村振兴等有机结合，鼓励创办非遗保护传承私营企业，对非遗产品进行改进，开发更多文创产品和项目，形成品牌效应，满足群众不同需求，实现在利用中保护、在保护中传承，把非遗文化资源转化为产业动能提升。</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bookmarkStart w:id="95" w:name="_Toc8092"/>
      <w:r>
        <w:rPr>
          <w:rFonts w:hint="default" w:ascii="Times New Roman" w:hAnsi="Times New Roman" w:eastAsia="黑体" w:cs="Times New Roman"/>
          <w:b w:val="0"/>
          <w:bCs/>
          <w:lang w:val="en-US" w:eastAsia="zh-CN"/>
        </w:rPr>
        <w:t>第三节 提升城市精细化管理水平</w:t>
      </w:r>
      <w:bookmarkEnd w:id="95"/>
    </w:p>
    <w:p>
      <w:pPr>
        <w:pStyle w:val="4"/>
        <w:bidi w:val="0"/>
        <w:rPr>
          <w:rFonts w:hint="default" w:cs="Times New Roman"/>
          <w:lang w:val="en-US" w:eastAsia="zh-CN"/>
        </w:rPr>
      </w:pPr>
      <w:r>
        <w:rPr>
          <w:rFonts w:hint="default" w:cs="Times New Roman"/>
          <w:lang w:val="en-US" w:eastAsia="zh-CN"/>
        </w:rPr>
        <w:t>一、大力</w:t>
      </w:r>
      <w:r>
        <w:rPr>
          <w:rFonts w:hint="default" w:cs="Times New Roman"/>
        </w:rPr>
        <w:t>推动</w:t>
      </w:r>
      <w:r>
        <w:rPr>
          <w:rFonts w:hint="default" w:cs="Times New Roman"/>
          <w:lang w:val="en-US" w:eastAsia="zh-CN"/>
        </w:rPr>
        <w:t>数字化技术赋能城市治理</w:t>
      </w:r>
    </w:p>
    <w:p>
      <w:pPr>
        <w:pageBreakBefore w:val="0"/>
        <w:widowControl w:val="0"/>
        <w:kinsoku/>
        <w:wordWrap/>
        <w:overflowPunct/>
        <w:topLinePunct w:val="0"/>
        <w:autoSpaceDE/>
        <w:autoSpaceDN/>
        <w:bidi w:val="0"/>
        <w:adjustRightInd/>
        <w:spacing w:line="240" w:lineRule="auto"/>
        <w:ind w:left="0" w:leftChars="0" w:firstLine="640"/>
        <w:textAlignment w:val="auto"/>
        <w:rPr>
          <w:rFonts w:hint="default" w:ascii="Times New Roman" w:hAnsi="Times New Roman" w:cs="Times New Roman"/>
        </w:rPr>
      </w:pPr>
      <w:r>
        <w:rPr>
          <w:rFonts w:hint="default" w:ascii="Times New Roman" w:hAnsi="Times New Roman" w:cs="Times New Roman"/>
        </w:rPr>
        <w:t>启动智慧城市建设，统筹公共视频监控系统一网统管，升级建立“数字城管”综合管理平台，将环卫作业车辆、一线作业人员、渣土运输车辆、市容环境卫生状况等全面接入系统，实现精准、实时、智能化监管，着力提升数字化管理水准，通过数字赋能城市精细化管理。推动建立城市管理指挥综合协调系统，加快推动城市治理体系和治理能力现代化。健全网格化、数字化城市管理体系，着力抓好经营秩序、环境卫生、交通秩序等薄弱环节整治。</w:t>
      </w:r>
    </w:p>
    <w:p>
      <w:pPr>
        <w:pStyle w:val="4"/>
        <w:bidi w:val="0"/>
        <w:rPr>
          <w:rFonts w:hint="default" w:cs="Times New Roman"/>
          <w:lang w:val="en-US" w:eastAsia="zh-CN"/>
        </w:rPr>
      </w:pPr>
      <w:r>
        <w:rPr>
          <w:rFonts w:hint="default" w:cs="Times New Roman"/>
          <w:lang w:val="en-US" w:eastAsia="zh-CN"/>
        </w:rPr>
        <w:t>二、持续开展“皖美红色物业”建设</w:t>
      </w:r>
    </w:p>
    <w:p>
      <w:pPr>
        <w:pageBreakBefore w:val="0"/>
        <w:widowControl w:val="0"/>
        <w:kinsoku/>
        <w:wordWrap/>
        <w:overflowPunct/>
        <w:topLinePunct w:val="0"/>
        <w:autoSpaceDE/>
        <w:autoSpaceDN/>
        <w:bidi w:val="0"/>
        <w:adjustRightInd/>
        <w:spacing w:line="240" w:lineRule="auto"/>
        <w:ind w:left="0" w:leftChars="0" w:firstLine="640"/>
        <w:textAlignment w:val="auto"/>
        <w:rPr>
          <w:rFonts w:hint="default" w:ascii="Times New Roman" w:hAnsi="Times New Roman" w:cs="Times New Roman"/>
        </w:rPr>
      </w:pPr>
      <w:r>
        <w:rPr>
          <w:rFonts w:hint="default" w:ascii="Times New Roman" w:hAnsi="Times New Roman" w:cs="Times New Roman"/>
        </w:rPr>
        <w:t>健全社区多主体自治共治机制，完善进群众公议等矛盾化解、权益保障新模式，搭建“城管服务超市”、城管岗亭、社区工作站、便民窗口等便民服务平台，引导社会公众自觉维护和监督城市环境秩序，构建多元共治、良性互动的城市治理格局。加强城市管理执法队伍规范化、专业化建设，加快培养一批懂城市、会管理的城市管理干部和专业人才，推进严格规范公正文明执法，强化行政执法与司法衔接，依法打击妨碍城市管理执法和暴力抗法行为，鼓励采用政府购买服务、与社会资本合作等模式，引入专业化城市管理和服务运营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4" w:type="dxa"/>
            <w:tcBorders>
              <w:top w:val="single" w:color="auto" w:sz="4" w:space="0"/>
              <w:left w:val="single" w:color="auto" w:sz="4" w:space="0"/>
              <w:bottom w:val="single" w:color="auto" w:sz="4" w:space="0"/>
              <w:right w:val="single" w:color="auto" w:sz="4" w:space="0"/>
            </w:tcBorders>
            <w:vAlign w:val="top"/>
          </w:tcPr>
          <w:p>
            <w:pPr>
              <w:pStyle w:val="5"/>
              <w:bidi w:val="0"/>
              <w:rPr>
                <w:rFonts w:hint="default" w:ascii="Times New Roman" w:hAnsi="Times New Roman" w:cs="Times New Roman"/>
                <w:szCs w:val="28"/>
              </w:rPr>
            </w:pPr>
            <w:bookmarkStart w:id="96" w:name="_Toc21524"/>
            <w:r>
              <w:rPr>
                <w:rFonts w:hint="default"/>
                <w:lang w:val="en-US" w:eastAsia="zh-CN"/>
              </w:rPr>
              <w:t>专栏5 城市品质提升重点项目</w:t>
            </w:r>
            <w:bookmarkEnd w:id="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4" w:type="dxa"/>
            <w:tcBorders>
              <w:top w:val="single" w:color="auto" w:sz="4" w:space="0"/>
              <w:left w:val="single" w:color="auto" w:sz="4" w:space="0"/>
              <w:bottom w:val="single" w:color="auto" w:sz="4" w:space="0"/>
              <w:right w:val="single" w:color="auto" w:sz="4" w:space="0"/>
            </w:tcBorders>
            <w:vAlign w:val="top"/>
          </w:tcPr>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bCs/>
                <w:color w:val="FF0000"/>
                <w:sz w:val="28"/>
                <w:szCs w:val="28"/>
                <w:highlight w:val="yellow"/>
              </w:rPr>
            </w:pPr>
            <w:r>
              <w:rPr>
                <w:rFonts w:hint="default" w:ascii="Times New Roman" w:hAnsi="Times New Roman" w:cs="Times New Roman"/>
                <w:b/>
                <w:bCs/>
                <w:color w:val="000000" w:themeColor="text1"/>
                <w:sz w:val="28"/>
                <w:szCs w:val="28"/>
                <w:lang w:val="en-US" w:eastAsia="zh-CN"/>
                <w14:textFill>
                  <w14:solidFill>
                    <w14:schemeClr w14:val="tx1"/>
                  </w14:solidFill>
                </w14:textFill>
              </w:rPr>
              <w:t>城市更新项目</w:t>
            </w:r>
            <w:r>
              <w:rPr>
                <w:rFonts w:hint="default" w:ascii="Times New Roman" w:hAnsi="Times New Roman" w:cs="Times New Roman"/>
                <w:b/>
                <w:bCs/>
                <w:color w:val="000000" w:themeColor="text1"/>
                <w:sz w:val="28"/>
                <w:szCs w:val="28"/>
                <w:lang w:eastAsia="zh-CN"/>
                <w14:textFill>
                  <w14:solidFill>
                    <w14:schemeClr w14:val="tx1"/>
                  </w14:solidFill>
                </w14:textFill>
              </w:rPr>
              <w:t>。</w: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实施</w:t>
            </w:r>
            <w:r>
              <w:rPr>
                <w:rFonts w:hint="default" w:ascii="Times New Roman" w:hAnsi="Times New Roman" w:cs="Times New Roman"/>
                <w:b w:val="0"/>
                <w:bCs w:val="0"/>
                <w:color w:val="000000" w:themeColor="text1"/>
                <w:sz w:val="28"/>
                <w:szCs w:val="28"/>
                <w14:textFill>
                  <w14:solidFill>
                    <w14:schemeClr w14:val="tx1"/>
                  </w14:solidFill>
                </w14:textFill>
              </w:rPr>
              <w:t>潘集区2025年老旧小区改造项目</w:t>
            </w:r>
            <w:r>
              <w:rPr>
                <w:rFonts w:hint="default" w:ascii="Times New Roman" w:hAnsi="Times New Roman" w:cs="Times New Roman"/>
                <w:b w:val="0"/>
                <w:bCs w:val="0"/>
                <w:color w:val="000000" w:themeColor="text1"/>
                <w:sz w:val="28"/>
                <w:szCs w:val="28"/>
                <w:lang w:eastAsia="zh-CN"/>
                <w14:textFill>
                  <w14:solidFill>
                    <w14:schemeClr w14:val="tx1"/>
                  </w14:solidFill>
                </w14:textFill>
              </w:rPr>
              <w:t>、潘集区棚户区改造项目、刘圩棚改折旧区地块、潘集区城中村改造项目、潘集区袁庄城乡融合发展示范区田集街道片区城市更新项目、春光花园二期</w: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项目</w:t>
            </w:r>
            <w:r>
              <w:rPr>
                <w:rFonts w:hint="default" w:ascii="Times New Roman" w:hAnsi="Times New Roman" w:cs="Times New Roman"/>
                <w:b w:val="0"/>
                <w:bCs w:val="0"/>
                <w:color w:val="000000" w:themeColor="text1"/>
                <w:sz w:val="28"/>
                <w:szCs w:val="28"/>
                <w14:textFill>
                  <w14:solidFill>
                    <w14:schemeClr w14:val="tx1"/>
                  </w14:solidFill>
                </w14:textFill>
              </w:rPr>
              <w:t>。</w:t>
            </w:r>
          </w:p>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b w:val="0"/>
                <w:bCs w:val="0"/>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城市基础设施项目</w:t>
            </w:r>
            <w:r>
              <w:rPr>
                <w:rFonts w:hint="default" w:ascii="Times New Roman" w:hAnsi="Times New Roman" w:cs="Times New Roman"/>
                <w:b/>
                <w:bCs/>
                <w:color w:val="000000" w:themeColor="text1"/>
                <w:sz w:val="28"/>
                <w:szCs w:val="28"/>
                <w:lang w:eastAsia="zh-CN"/>
                <w14:textFill>
                  <w14:solidFill>
                    <w14:schemeClr w14:val="tx1"/>
                  </w14:solidFill>
                </w14:textFill>
              </w:rPr>
              <w:t>。</w:t>
            </w:r>
            <w:r>
              <w:rPr>
                <w:rFonts w:hint="default" w:ascii="Times New Roman" w:hAnsi="Times New Roman" w:cs="Times New Roman"/>
                <w:b w:val="0"/>
                <w:bCs w:val="0"/>
                <w:color w:val="000000" w:themeColor="text1"/>
                <w:sz w:val="28"/>
                <w:szCs w:val="28"/>
                <w:lang w:eastAsia="zh-CN"/>
                <w14:textFill>
                  <w14:solidFill>
                    <w14:schemeClr w14:val="tx1"/>
                  </w14:solidFill>
                </w14:textFill>
              </w:rPr>
              <w:t>潘集区天门山路项目、</w:t>
            </w:r>
            <w:r>
              <w:rPr>
                <w:rFonts w:hint="default" w:ascii="Times New Roman" w:hAnsi="Times New Roman" w:cs="Times New Roman"/>
                <w:b w:val="0"/>
                <w:bCs w:val="0"/>
                <w:color w:val="000000" w:themeColor="text1"/>
                <w:sz w:val="28"/>
                <w:szCs w:val="28"/>
                <w14:textFill>
                  <w14:solidFill>
                    <w14:schemeClr w14:val="tx1"/>
                  </w14:solidFill>
                </w14:textFill>
              </w:rPr>
              <w:t>淮南市潘集区制造产业园及配套基础设施提升项目</w:t>
            </w:r>
            <w:r>
              <w:rPr>
                <w:rFonts w:hint="default" w:ascii="Times New Roman" w:hAnsi="Times New Roman" w:cs="Times New Roman"/>
                <w:b w:val="0"/>
                <w:bCs w:val="0"/>
                <w:color w:val="000000" w:themeColor="text1"/>
                <w:sz w:val="28"/>
                <w:szCs w:val="28"/>
                <w:lang w:eastAsia="zh-CN"/>
                <w14:textFill>
                  <w14:solidFill>
                    <w14:schemeClr w14:val="tx1"/>
                  </w14:solidFill>
                </w14:textFill>
              </w:rPr>
              <w:t>、潘集区采煤沉陷区搬迁安置项目、</w:t>
            </w:r>
            <w:r>
              <w:rPr>
                <w:rFonts w:hint="default" w:ascii="Times New Roman" w:hAnsi="Times New Roman" w:cs="Times New Roman"/>
                <w:b w:val="0"/>
                <w:bCs w:val="0"/>
                <w:color w:val="000000" w:themeColor="text1"/>
                <w:sz w:val="28"/>
                <w:szCs w:val="28"/>
                <w14:textFill>
                  <w14:solidFill>
                    <w14:schemeClr w14:val="tx1"/>
                  </w14:solidFill>
                </w14:textFill>
              </w:rPr>
              <w:t>淮南市潘集区采煤沉陷区搬迁安置小区（中部片区</w:t>
            </w:r>
            <w:r>
              <w:rPr>
                <w:rFonts w:hint="default" w:ascii="Times New Roman" w:hAnsi="Times New Roman" w:cs="Times New Roman"/>
                <w:b w:val="0"/>
                <w:bCs w:val="0"/>
                <w:color w:val="000000" w:themeColor="text1"/>
                <w:sz w:val="28"/>
                <w:szCs w:val="28"/>
                <w:lang w:eastAsia="zh-CN"/>
                <w14:textFill>
                  <w14:solidFill>
                    <w14:schemeClr w14:val="tx1"/>
                  </w14:solidFill>
                </w14:textFill>
              </w:rPr>
              <w:t>、</w:t>
            </w:r>
            <w:r>
              <w:rPr>
                <w:rFonts w:hint="default" w:ascii="Times New Roman" w:hAnsi="Times New Roman" w:cs="Times New Roman"/>
                <w:b w:val="0"/>
                <w:bCs w:val="0"/>
                <w:color w:val="000000" w:themeColor="text1"/>
                <w:sz w:val="28"/>
                <w:szCs w:val="28"/>
                <w14:textFill>
                  <w14:solidFill>
                    <w14:schemeClr w14:val="tx1"/>
                  </w14:solidFill>
                </w14:textFill>
              </w:rPr>
              <w:t>西部片区</w:t>
            </w:r>
            <w:r>
              <w:rPr>
                <w:rFonts w:hint="default" w:ascii="Times New Roman" w:hAnsi="Times New Roman" w:cs="Times New Roman"/>
                <w:b w:val="0"/>
                <w:bCs w:val="0"/>
                <w:color w:val="000000" w:themeColor="text1"/>
                <w:sz w:val="28"/>
                <w:szCs w:val="28"/>
                <w:lang w:eastAsia="zh-CN"/>
                <w14:textFill>
                  <w14:solidFill>
                    <w14:schemeClr w14:val="tx1"/>
                  </w14:solidFill>
                </w14:textFill>
              </w:rPr>
              <w:t>、</w:t>
            </w:r>
            <w:r>
              <w:rPr>
                <w:rFonts w:hint="default" w:ascii="Times New Roman" w:hAnsi="Times New Roman" w:cs="Times New Roman"/>
                <w:b w:val="0"/>
                <w:bCs w:val="0"/>
                <w:color w:val="000000" w:themeColor="text1"/>
                <w:sz w:val="28"/>
                <w:szCs w:val="28"/>
                <w14:textFill>
                  <w14:solidFill>
                    <w14:schemeClr w14:val="tx1"/>
                  </w14:solidFill>
                </w14:textFill>
              </w:rPr>
              <w:t>北部片区</w:t>
            </w:r>
            <w:r>
              <w:rPr>
                <w:rFonts w:hint="default" w:ascii="Times New Roman" w:hAnsi="Times New Roman" w:cs="Times New Roman"/>
                <w:b w:val="0"/>
                <w:bCs w:val="0"/>
                <w:color w:val="000000" w:themeColor="text1"/>
                <w:sz w:val="28"/>
                <w:szCs w:val="28"/>
                <w:lang w:eastAsia="zh-CN"/>
                <w14:textFill>
                  <w14:solidFill>
                    <w14:schemeClr w14:val="tx1"/>
                  </w14:solidFill>
                </w14:textFill>
              </w:rPr>
              <w:t>、</w:t>
            </w:r>
            <w:r>
              <w:rPr>
                <w:rFonts w:hint="default" w:ascii="Times New Roman" w:hAnsi="Times New Roman" w:cs="Times New Roman"/>
                <w:b w:val="0"/>
                <w:bCs w:val="0"/>
                <w:color w:val="000000" w:themeColor="text1"/>
                <w:sz w:val="28"/>
                <w:szCs w:val="28"/>
                <w14:textFill>
                  <w14:solidFill>
                    <w14:schemeClr w14:val="tx1"/>
                  </w14:solidFill>
                </w14:textFill>
              </w:rPr>
              <w:t>东部片区）基础设施提升改造项目</w:t>
            </w:r>
            <w:r>
              <w:rPr>
                <w:rFonts w:hint="default" w:ascii="Times New Roman" w:hAnsi="Times New Roman" w:cs="Times New Roman"/>
                <w:b w:val="0"/>
                <w:bCs w:val="0"/>
                <w:color w:val="000000" w:themeColor="text1"/>
                <w:sz w:val="28"/>
                <w:szCs w:val="28"/>
                <w:lang w:eastAsia="zh-CN"/>
                <w14:textFill>
                  <w14:solidFill>
                    <w14:schemeClr w14:val="tx1"/>
                  </w14:solidFill>
                </w14:textFill>
              </w:rPr>
              <w:t>、</w:t>
            </w:r>
            <w:r>
              <w:rPr>
                <w:rFonts w:hint="default" w:ascii="Times New Roman" w:hAnsi="Times New Roman" w:cs="Times New Roman"/>
                <w:bCs/>
                <w:color w:val="000000" w:themeColor="text1"/>
                <w:sz w:val="28"/>
                <w:szCs w:val="28"/>
                <w14:textFill>
                  <w14:solidFill>
                    <w14:schemeClr w14:val="tx1"/>
                  </w14:solidFill>
                </w14:textFill>
              </w:rPr>
              <w:t>潘集区城镇再生水回收利用项目</w:t>
            </w:r>
            <w:r>
              <w:rPr>
                <w:rFonts w:hint="default" w:ascii="Times New Roman" w:hAnsi="Times New Roman" w:cs="Times New Roman"/>
                <w:bCs/>
                <w:color w:val="000000" w:themeColor="text1"/>
                <w:sz w:val="28"/>
                <w:szCs w:val="28"/>
                <w:lang w:eastAsia="zh-CN"/>
                <w14:textFill>
                  <w14:solidFill>
                    <w14:schemeClr w14:val="tx1"/>
                  </w14:solidFill>
                </w14:textFill>
              </w:rPr>
              <w:t>、淮南市潘集区热能综合利用项目、潘集区中部热能综合利用项目、潘集区中心城区东南片排水防涝提升项目、</w:t>
            </w:r>
            <w:r>
              <w:rPr>
                <w:rFonts w:hint="default" w:ascii="Times New Roman" w:hAnsi="Times New Roman" w:cs="Times New Roman"/>
                <w:color w:val="000000" w:themeColor="text1"/>
                <w:kern w:val="0"/>
                <w:sz w:val="28"/>
                <w:szCs w:val="28"/>
                <w14:textFill>
                  <w14:solidFill>
                    <w14:schemeClr w14:val="tx1"/>
                  </w14:solidFill>
                </w14:textFill>
              </w:rPr>
              <w:t>淮南市潘集区平圩大桥停车场建设项目</w:t>
            </w:r>
            <w:r>
              <w:rPr>
                <w:rFonts w:hint="default" w:ascii="Times New Roman" w:hAnsi="Times New Roman" w:cs="Times New Roman"/>
                <w:color w:val="000000" w:themeColor="text1"/>
                <w:kern w:val="0"/>
                <w:sz w:val="28"/>
                <w:szCs w:val="28"/>
                <w:lang w:eastAsia="zh-CN"/>
                <w14:textFill>
                  <w14:solidFill>
                    <w14:schemeClr w14:val="tx1"/>
                  </w14:solidFill>
                </w14:textFill>
              </w:rPr>
              <w:t>、</w: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潘集区新能源充电桩基础设施建设项目、新建潘集区政务服务中心。</w:t>
            </w:r>
          </w:p>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bCs/>
                <w:color w:val="000000" w:themeColor="text1"/>
                <w:sz w:val="28"/>
                <w:szCs w:val="28"/>
                <w:lang w:val="en-US" w:eastAsia="zh-CN"/>
                <w14:textFill>
                  <w14:solidFill>
                    <w14:schemeClr w14:val="tx1"/>
                  </w14:solidFill>
                </w14:textFill>
              </w:rPr>
            </w:pPr>
            <w:r>
              <w:rPr>
                <w:rFonts w:hint="eastAsia" w:ascii="Times New Roman" w:hAnsi="Times New Roman" w:cs="Times New Roman"/>
                <w:b/>
                <w:bCs/>
                <w:color w:val="000000" w:themeColor="text1"/>
                <w:sz w:val="28"/>
                <w:szCs w:val="28"/>
                <w:lang w:val="en-US" w:eastAsia="zh-CN"/>
                <w14:textFill>
                  <w14:solidFill>
                    <w14:schemeClr w14:val="tx1"/>
                  </w14:solidFill>
                </w14:textFill>
              </w:rPr>
              <w:t>城市生态环境项目。</w:t>
            </w:r>
            <w:r>
              <w:rPr>
                <w:rFonts w:hint="eastAsia" w:ascii="Times New Roman" w:hAnsi="Times New Roman" w:cs="Times New Roman"/>
                <w:bCs/>
                <w:color w:val="000000" w:themeColor="text1"/>
                <w:sz w:val="28"/>
                <w:szCs w:val="28"/>
                <w:lang w:val="en-US" w:eastAsia="zh-CN"/>
                <w14:textFill>
                  <w14:solidFill>
                    <w14:schemeClr w14:val="tx1"/>
                  </w14:solidFill>
                </w14:textFill>
              </w:rPr>
              <w:t>“十五五”时期重点</w:t>
            </w:r>
            <w:r>
              <w:rPr>
                <w:rFonts w:hint="eastAsia" w:cs="Times New Roman"/>
                <w:bCs/>
                <w:color w:val="000000" w:themeColor="text1"/>
                <w:sz w:val="28"/>
                <w:szCs w:val="28"/>
                <w:lang w:val="en-US" w:eastAsia="zh-CN"/>
                <w14:textFill>
                  <w14:solidFill>
                    <w14:schemeClr w14:val="tx1"/>
                  </w14:solidFill>
                </w14:textFill>
              </w:rPr>
              <w:t>推进长江路风景绿道提升、珠江路风景绿道提升项目、天柱山路风景绿道提升项目、黄山路风景绿道提升项目、九华山路风景绿道提升项目、齐云山路风景绿道提升项目、顾高新河滨水绿道新建项目、朱家大沟滨水绿道新建项目、杨圩大沟滨水绿道新建项目、五一大沟滨水绿道新建项目等10条绿道建设。</w:t>
            </w:r>
          </w:p>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rPr>
            </w:pPr>
            <w:r>
              <w:rPr>
                <w:rFonts w:hint="default" w:ascii="Times New Roman" w:hAnsi="Times New Roman" w:cs="Times New Roman"/>
                <w:b/>
                <w:bCs/>
                <w:color w:val="000000" w:themeColor="text1"/>
                <w:sz w:val="28"/>
                <w:szCs w:val="28"/>
                <w14:textFill>
                  <w14:solidFill>
                    <w14:schemeClr w14:val="tx1"/>
                  </w14:solidFill>
                </w14:textFill>
              </w:rPr>
              <w:t>智慧城市</w:t>
            </w:r>
            <w:r>
              <w:rPr>
                <w:rFonts w:hint="default" w:ascii="Times New Roman" w:hAnsi="Times New Roman" w:cs="Times New Roman"/>
                <w:b/>
                <w:bCs/>
                <w:color w:val="000000" w:themeColor="text1"/>
                <w:sz w:val="28"/>
                <w:szCs w:val="28"/>
                <w:lang w:val="en-US" w:eastAsia="zh-CN"/>
                <w14:textFill>
                  <w14:solidFill>
                    <w14:schemeClr w14:val="tx1"/>
                  </w14:solidFill>
                </w14:textFill>
              </w:rPr>
              <w:t>项目</w:t>
            </w:r>
            <w:r>
              <w:rPr>
                <w:rFonts w:hint="default" w:ascii="Times New Roman" w:hAnsi="Times New Roman" w:cs="Times New Roman"/>
                <w:b/>
                <w:bCs/>
                <w:color w:val="000000" w:themeColor="text1"/>
                <w:sz w:val="28"/>
                <w:szCs w:val="28"/>
                <w:lang w:eastAsia="zh-CN"/>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建设雨污水、燃气、供水、泵站、等地理信息系统及安全运行监测系统，监理智慧水务，智慧城管等平台，扬尘污染防治监控、建筑工地安全监管等远程监控系统，完善智慧城市平台。</w:t>
            </w:r>
          </w:p>
        </w:tc>
      </w:tr>
    </w:tbl>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97" w:name="_Toc32269"/>
      <w:r>
        <w:rPr>
          <w:rFonts w:hint="default" w:ascii="Times New Roman" w:hAnsi="Times New Roman" w:eastAsia="黑体" w:cs="Times New Roman"/>
          <w:b w:val="0"/>
          <w:bCs/>
          <w:lang w:val="en-US" w:eastAsia="zh-CN"/>
        </w:rPr>
        <w:t>第四节 推进城乡一体化融合发展</w:t>
      </w:r>
      <w:bookmarkEnd w:id="97"/>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一、推进乡镇差异化、品质化、特色化发展</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统筹推进新型城镇化和乡村振兴战略，推动乡镇和中心城区联动发展，推动形成主城区、副城区、重点镇、特色镇协调发展的格局。把镇域作为城乡要素融合的重要载体，基于发展基础、区位条件、资源禀赋等因素，按照“一镇一品”“一镇一业”的原则，着力建设一批产业特色鲜明、生态环境优美、文化底蕴深厚、体制机制灵活、示范效应显著、人文气息浓厚、宜业宜居宜游的特色城镇。</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top"/>
          </w:tcPr>
          <w:p>
            <w:pPr>
              <w:pStyle w:val="5"/>
              <w:bidi w:val="0"/>
              <w:rPr>
                <w:rFonts w:hint="default" w:ascii="Times New Roman" w:hAnsi="Times New Roman" w:eastAsia="黑体" w:cs="Times New Roman"/>
                <w:color w:val="000000" w:themeColor="text1"/>
                <w:lang w:val="en-US" w:eastAsia="zh-CN"/>
                <w14:textFill>
                  <w14:solidFill>
                    <w14:schemeClr w14:val="tx1"/>
                  </w14:solidFill>
                </w14:textFill>
              </w:rPr>
            </w:pPr>
            <w:bookmarkStart w:id="98" w:name="_Toc2969"/>
            <w:r>
              <w:rPr>
                <w:rFonts w:hint="default"/>
              </w:rPr>
              <w:t>专栏</w:t>
            </w:r>
            <w:r>
              <w:rPr>
                <w:rFonts w:hint="default"/>
                <w:lang w:val="en-US" w:eastAsia="zh-CN"/>
              </w:rPr>
              <w:t>6</w:t>
            </w:r>
            <w:r>
              <w:rPr>
                <w:rFonts w:hint="default"/>
              </w:rPr>
              <w:t xml:space="preserve"> 特色城镇</w:t>
            </w:r>
            <w:bookmarkEnd w:id="98"/>
            <w:r>
              <w:rPr>
                <w:rFonts w:hint="eastAsia"/>
                <w:lang w:val="en-US" w:eastAsia="zh-CN"/>
              </w:rPr>
              <w:t>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top"/>
          </w:tcPr>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【平圩镇】</w:t>
            </w:r>
            <w:r>
              <w:rPr>
                <w:rFonts w:hint="default" w:ascii="Times New Roman" w:hAnsi="Times New Roman" w:cs="Times New Roman"/>
                <w:b/>
                <w:bCs/>
                <w:color w:val="000000" w:themeColor="text1"/>
                <w:sz w:val="28"/>
                <w:szCs w:val="28"/>
                <w:lang w:val="en-US" w:eastAsia="zh-CN"/>
                <w14:textFill>
                  <w14:solidFill>
                    <w14:schemeClr w14:val="tx1"/>
                  </w14:solidFill>
                </w14:textFill>
              </w:rPr>
              <w:t>打造</w:t>
            </w:r>
            <w:r>
              <w:rPr>
                <w:rFonts w:hint="default" w:ascii="Times New Roman" w:hAnsi="Times New Roman" w:cs="Times New Roman"/>
                <w:b/>
                <w:bCs/>
                <w:color w:val="000000" w:themeColor="text1"/>
                <w:sz w:val="28"/>
                <w:szCs w:val="28"/>
                <w14:textFill>
                  <w14:solidFill>
                    <w14:schemeClr w14:val="tx1"/>
                  </w14:solidFill>
                </w14:textFill>
              </w:rPr>
              <w:t>化工新材智造基地</w:t>
            </w:r>
            <w:r>
              <w:rPr>
                <w:rFonts w:hint="default" w:ascii="Times New Roman" w:hAnsi="Times New Roman" w:cs="Times New Roman"/>
                <w:b/>
                <w:bCs/>
                <w:color w:val="000000" w:themeColor="text1"/>
                <w:sz w:val="28"/>
                <w:szCs w:val="28"/>
                <w:lang w:eastAsia="zh-CN"/>
                <w14:textFill>
                  <w14:solidFill>
                    <w14:schemeClr w14:val="tx1"/>
                  </w14:solidFill>
                </w14:textFill>
              </w:rPr>
              <w:t>、</w:t>
            </w:r>
            <w:r>
              <w:rPr>
                <w:rFonts w:hint="default" w:ascii="Times New Roman" w:hAnsi="Times New Roman" w:cs="Times New Roman"/>
                <w:b/>
                <w:bCs/>
                <w:color w:val="000000" w:themeColor="text1"/>
                <w:sz w:val="28"/>
                <w:szCs w:val="28"/>
                <w14:textFill>
                  <w14:solidFill>
                    <w14:schemeClr w14:val="tx1"/>
                  </w14:solidFill>
                </w14:textFill>
              </w:rPr>
              <w:t>城园融合产业高地</w:t>
            </w:r>
            <w:r>
              <w:rPr>
                <w:rFonts w:hint="default" w:ascii="Times New Roman" w:hAnsi="Times New Roman" w:cs="Times New Roman"/>
                <w:b/>
                <w:bCs/>
                <w:color w:val="000000" w:themeColor="text1"/>
                <w:sz w:val="28"/>
                <w:szCs w:val="28"/>
                <w:lang w:eastAsia="zh-CN"/>
                <w14:textFill>
                  <w14:solidFill>
                    <w14:schemeClr w14:val="tx1"/>
                  </w14:solidFill>
                </w14:textFill>
              </w:rPr>
              <w:t>、</w:t>
            </w:r>
            <w:r>
              <w:rPr>
                <w:rFonts w:hint="default" w:ascii="Times New Roman" w:hAnsi="Times New Roman" w:cs="Times New Roman"/>
                <w:b/>
                <w:bCs/>
                <w:color w:val="000000" w:themeColor="text1"/>
                <w:sz w:val="28"/>
                <w:szCs w:val="28"/>
                <w14:textFill>
                  <w14:solidFill>
                    <w14:schemeClr w14:val="tx1"/>
                  </w14:solidFill>
                </w14:textFill>
              </w:rPr>
              <w:t>宜居宜业滨河新城</w:t>
            </w:r>
            <w:r>
              <w:rPr>
                <w:rFonts w:hint="default" w:ascii="Times New Roman" w:hAnsi="Times New Roman" w:cs="Times New Roman"/>
                <w:b/>
                <w:bCs/>
                <w:color w:val="000000" w:themeColor="text1"/>
                <w:sz w:val="28"/>
                <w:szCs w:val="28"/>
                <w:lang w:val="en-US" w:eastAsia="zh-CN"/>
                <w14:textFill>
                  <w14:solidFill>
                    <w14:schemeClr w14:val="tx1"/>
                  </w14:solidFill>
                </w14:textFill>
              </w:rPr>
              <w:t>。</w: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依托平圩电厂、潘集经济开发区、煤化工园区，聚焦新质生产力，发展煤电绿能低碳环保产业，依托高端煤化工、新材料、新能源、高端制造等产业，打造化工、新材料产业智造基地；承载主城区产业辐射，大力发展商贸、物流、现代服务等产业，围绕芦家湖区域，发展生态休闲旅游产业，打造城园融合产业高地、安徽省十强镇；锚定潘集副中心城区高质量发展为首要任务，坚持产城联动发展，依托产业配套，加强人居环境整治，建设宜居宜业滨河新城。</w:t>
            </w:r>
          </w:p>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【高皇镇】打造“淮水果蔬重镇、生态乡旅高皇”。</w:t>
            </w:r>
            <w:r>
              <w:rPr>
                <w:rFonts w:hint="default" w:ascii="Times New Roman" w:hAnsi="Times New Roman" w:cs="Times New Roman"/>
                <w:color w:val="000000" w:themeColor="text1"/>
                <w:sz w:val="28"/>
                <w:szCs w:val="28"/>
                <w14:textFill>
                  <w14:solidFill>
                    <w14:schemeClr w14:val="tx1"/>
                  </w14:solidFill>
                </w14:textFill>
              </w:rPr>
              <w:t>坚持“健康、绿色、生态、集聚”理念，加快构建“两带两轴五区多点”发展空间布局，全力推进“一产主导、接二连三”现代农业产业体系。积极推动蔬菜主导产业提质增效，以“高皇萝卜”全国名特优产品称号获批为契机，持续打造以孙岗为中心的万亩蔬菜种植基地，实施好苏咀村轻钢结构标准化厂房等重点产业项目，打响孙岗萝卜、张岗葡萄、大集大葱知名度，擦亮“淮南菜篮子”金字招牌。推进“淮南牛肉汤原料供应基地”蔬菜配料和绿色高蛋白大豆基地建设项目。全力抓好农村人居环境整治，不断推动和美乡村建设，不断提升乡村“颜值”。</w:t>
            </w:r>
          </w:p>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【古沟回族乡】打造淮南北部具有地域特色的现代农业高品质发展示范区。</w:t>
            </w:r>
            <w:r>
              <w:rPr>
                <w:rFonts w:hint="default" w:ascii="Times New Roman" w:hAnsi="Times New Roman" w:cs="Times New Roman"/>
                <w:color w:val="000000" w:themeColor="text1"/>
                <w:sz w:val="28"/>
                <w:szCs w:val="28"/>
                <w14:textFill>
                  <w14:solidFill>
                    <w14:schemeClr w14:val="tx1"/>
                  </w14:solidFill>
                </w14:textFill>
              </w:rPr>
              <w:t>重点保障G345、S235、S63、低空飞行营地（通用机场）等重大项目建设，加快构建航空—铁路—公路联动的对外交通格局。在巩固现有农业生产基础上，优化农业产业结构，积极发展酥瓜、草莓等具有地方特色的农产品，进一步挖掘太平黄牛养殖、油王米糖、蔡庙粉皮、於湖育苗等传统工艺优势，培育引进一批黄牛、蔬菜等产业化精深加工企业，发展乡村新产业新业态。促进农村一二三产业融合发展，深入挖掘和传承古沟回族乡的少数民族文化，加大对太平清真寺、泥老虎传统彩绘技艺等文化遗产的保护与利用力度，重点保障太平村和美乡村精品示范村建设，加强古沟回族乡与田集街道、泥河镇、平圩镇等周边地区的统筹发展和旅游一体化布局，聚焦都市人群休闲体验诉求，推动古沟回族乡建设成为城市居民心目中的近郊休闲胜地。</w:t>
            </w:r>
          </w:p>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【架河镇】打造近郊优质粮油蔬果种植示范镇、淮河风情旅游小镇。</w:t>
            </w:r>
            <w:r>
              <w:rPr>
                <w:rFonts w:hint="default" w:ascii="Times New Roman" w:hAnsi="Times New Roman" w:cs="Times New Roman"/>
                <w:color w:val="000000" w:themeColor="text1"/>
                <w:sz w:val="28"/>
                <w:szCs w:val="28"/>
                <w14:textFill>
                  <w14:solidFill>
                    <w14:schemeClr w14:val="tx1"/>
                  </w14:solidFill>
                </w14:textFill>
              </w:rPr>
              <w:t>围绕构建“一带一轴四区”总体格局，以实现农业现代化为目标，全面推行标准化、规模化种植模式，统筹农牧业发展，推进种养有机结合。加快高标准农田建设，因地制宜发展特色设施农业，引进高品质西瓜、葡萄等特色水果，以农产品加工为重点发展方向，谋划打造食品专业合作社，统筹规划农副产品加工环节，推动建立起完善销售体系。统筹农村一二三产业融合，全方位发展乡村农旅产业，重点发展采摘体验、亲子研学项目以及淮河生态观光等特色旅游活动，加快实施武庙生态园、许家岗农业产业园、杨集村葡萄采摘园、王圩村虾田米种植基地等农旅融合项目。推动“淮河湾”区域公共品牌跨乡镇联动，整合沿线农产品、文旅资源，形成规模效应。</w:t>
            </w:r>
          </w:p>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【祁集镇】打造产城融合发展示范区。</w:t>
            </w:r>
            <w:r>
              <w:rPr>
                <w:rFonts w:hint="default" w:ascii="Times New Roman" w:hAnsi="Times New Roman" w:cs="Times New Roman"/>
                <w:color w:val="000000" w:themeColor="text1"/>
                <w:sz w:val="28"/>
                <w:szCs w:val="28"/>
                <w14:textFill>
                  <w14:solidFill>
                    <w14:schemeClr w14:val="tx1"/>
                  </w14:solidFill>
                </w14:textFill>
              </w:rPr>
              <w:t>整合祁集镇农业资源，重点发展小稻、小麦机械化、规模化种植，实现农业现代化发展。结合黄岗村“黄晶湾”品牌建设，打造以黄岗鸭田米、金丝皇菊、有机蔬菜、牛羊肉四大特色农产品为主的绿色农产品品牌，带动产业结构优化升级，创造高效生态农业。联动一、二、三产业，大力发展乡村休闲、古村体验、餐饮娱乐商务休闲等旅游产业，完善镇区生活型服务业建设，深入挖掘祁集镇悠久的历史文化底蕴、推进祁集文化旅游开发，实施豆腐文化园旅游综合开发，规划建设“豆腐美食街”，发展夜间经济、周末市集等业态，吸引园区工人留镇消费。</w:t>
            </w:r>
          </w:p>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【芦集镇】打造现代化生态富民强镇。</w:t>
            </w:r>
            <w:r>
              <w:rPr>
                <w:rFonts w:hint="default" w:ascii="Times New Roman" w:hAnsi="Times New Roman" w:cs="Times New Roman"/>
                <w:color w:val="000000" w:themeColor="text1"/>
                <w:sz w:val="28"/>
                <w:szCs w:val="28"/>
                <w14:textFill>
                  <w14:solidFill>
                    <w14:schemeClr w14:val="tx1"/>
                  </w14:solidFill>
                </w14:textFill>
              </w:rPr>
              <w:t>打造粮食绿色高质高效示范基地，紧紧围绕主要粮食作物，通过订单收购，促进农业种植结构的调整，建设粮食绿色生产示范片，推进永久基本农田全部建成高标准农田，推动品种培优、品质提升、品牌打造和标准化生产。大力发展特色生态种植产业，调整优化种植结构，加快优势特色种植业基地建设，立足绿色蔬菜种植，重点推进酥瓜等特色农作物建设，扩大种植面积，有效带动群众增收致富。持续壮大特色养殖产业，以芦集镇肉牛养殖基地（常虹牧业）为核心，按照“产出高效、产品安全、资源节约、环境友好”的发展思路，持续推广肉牛、鹅规模化养殖，创建区域品牌。延伸农业产业链，打造农旅融合产业，以自然资源为基础，利用农业景观田园风光，结合农耕文化，采用科学的管理方法，搭建完善的生态生物链条式结构，形成生态优美的自然风貌，建立生态、高效、循环的多样型功能形态，构建集客房、避暑、游玩、餐饮与一体的休闲观光生态农业园区。积极探索生态修复治理机制、做法，对沉降重点区域进行治理，化“包袱”为财富，推动生态公园建设，打造休闲旅游、乡村旅游等高质量产品和线路。</w:t>
            </w:r>
          </w:p>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【夹沟镇】打造现代农业示范区、生态修复样板区。</w:t>
            </w:r>
            <w:r>
              <w:rPr>
                <w:rFonts w:hint="default" w:ascii="Times New Roman" w:hAnsi="Times New Roman" w:cs="Times New Roman"/>
                <w:color w:val="000000" w:themeColor="text1"/>
                <w:sz w:val="28"/>
                <w:szCs w:val="28"/>
                <w14:textFill>
                  <w14:solidFill>
                    <w14:schemeClr w14:val="tx1"/>
                  </w14:solidFill>
                </w14:textFill>
              </w:rPr>
              <w:t>持续做强大白鹅、酥瓜、酥梨、香稻等特色产业并推动深加工升级、提升附加值，培育壮大农业产业化龙头企业，发展农产品电商等新业态以拓宽村民增收渠道；推动转塘大白鹅养殖基地林场村酥瓜大棚等项目提质扩面，扩大种植规模，配套冷链物流与观光采摘，积极争取区级产业扶持政策与人才引进配套政策倾斜，打造省级品牌，提升农产品市场竞争力；以全域土地综合整治为抓手，解决高速建设导致的农田碎片化问题，优化耕地布局，通过“土地整治+”模式，推进废弃水面复耕，助力耕地保护与粮食安全；重点保障泥河伊河水生态修复项目，持续推进采煤塌陷区治理，筑牢生态屏障。</w:t>
            </w:r>
          </w:p>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【泥河镇】打造潘集区北部生态农业与工矿协同发展的特色示范镇。</w:t>
            </w:r>
            <w:r>
              <w:rPr>
                <w:rFonts w:hint="default" w:ascii="Times New Roman" w:hAnsi="Times New Roman" w:cs="Times New Roman"/>
                <w:color w:val="000000" w:themeColor="text1"/>
                <w:sz w:val="28"/>
                <w:szCs w:val="28"/>
                <w14:textFill>
                  <w14:solidFill>
                    <w14:schemeClr w14:val="tx1"/>
                  </w14:solidFill>
                </w14:textFill>
              </w:rPr>
              <w:t>农业方面，深化“店集贡米”品牌效应，扩大种植面积至5000亩，建设标准化示范基地；实施“店集贡米”产业链延伸工程，建设冷链物流中心；推广“农业大托管”模式，推动小田并大田，发展订单农业和农产品精深加工（如秉润粮油、稻花香加工链）；推广智慧农业技术，在草莓、酥瓜种植区普及物联网监测、无人机植保等设备；推进42工程处农场闲置用地开发，落地1—2个亿元级工业项目。工业方面，依托小微产业园，重点招引机械制造、食品加工、仓储物流企业；推动中骏建材等传统企业技改升级，探索“光伏+采煤沉陷区”绿色能源项目。服务业方面，结合后湖生态园4A级景区创建，发展农旅融合产业，打造“农业生态+”综合体（休闲观光、农耕体验）；谋划泥河生物多样性保护与生态旅游项目。</w:t>
            </w:r>
          </w:p>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【潘集镇】</w:t>
            </w:r>
            <w:r>
              <w:rPr>
                <w:rFonts w:hint="default" w:ascii="Times New Roman" w:hAnsi="Times New Roman" w:cs="Times New Roman"/>
                <w:b/>
                <w:bCs/>
                <w:color w:val="000000" w:themeColor="text1"/>
                <w:sz w:val="28"/>
                <w:szCs w:val="28"/>
                <w:lang w:val="en-US" w:eastAsia="zh-CN"/>
                <w14:textFill>
                  <w14:solidFill>
                    <w14:schemeClr w14:val="tx1"/>
                  </w14:solidFill>
                </w14:textFill>
              </w:rPr>
              <w:t>打造</w:t>
            </w:r>
            <w:r>
              <w:rPr>
                <w:rFonts w:hint="default" w:ascii="Times New Roman" w:hAnsi="Times New Roman" w:cs="Times New Roman"/>
                <w:b/>
                <w:bCs/>
                <w:color w:val="000000" w:themeColor="text1"/>
                <w:sz w:val="28"/>
                <w:szCs w:val="28"/>
                <w14:textFill>
                  <w14:solidFill>
                    <w14:schemeClr w14:val="tx1"/>
                  </w14:solidFill>
                </w14:textFill>
              </w:rPr>
              <w:t>淮南北部采煤沉陷生态修复治理示范区</w:t>
            </w:r>
            <w:r>
              <w:rPr>
                <w:rFonts w:hint="default" w:ascii="Times New Roman" w:hAnsi="Times New Roman" w:cs="Times New Roman"/>
                <w:b/>
                <w:bCs/>
                <w:color w:val="000000" w:themeColor="text1"/>
                <w:sz w:val="28"/>
                <w:szCs w:val="28"/>
                <w:lang w:eastAsia="zh-CN"/>
                <w14:textFill>
                  <w14:solidFill>
                    <w14:schemeClr w14:val="tx1"/>
                  </w14:solidFill>
                </w14:textFill>
              </w:rPr>
              <w:t>、</w:t>
            </w:r>
            <w:r>
              <w:rPr>
                <w:rFonts w:hint="default" w:ascii="Times New Roman" w:hAnsi="Times New Roman" w:cs="Times New Roman"/>
                <w:b/>
                <w:bCs/>
                <w:color w:val="000000" w:themeColor="text1"/>
                <w:sz w:val="28"/>
                <w:szCs w:val="28"/>
                <w14:textFill>
                  <w14:solidFill>
                    <w14:schemeClr w14:val="tx1"/>
                  </w14:solidFill>
                </w14:textFill>
              </w:rPr>
              <w:t>潘集区资源型绿色转型创新镇。</w:t>
            </w:r>
            <w:r>
              <w:rPr>
                <w:rFonts w:hint="default" w:ascii="Times New Roman" w:hAnsi="Times New Roman" w:cs="Times New Roman"/>
                <w:b w:val="0"/>
                <w:bCs w:val="0"/>
                <w:color w:val="000000" w:themeColor="text1"/>
                <w:sz w:val="28"/>
                <w:szCs w:val="28"/>
                <w14:textFill>
                  <w14:solidFill>
                    <w14:schemeClr w14:val="tx1"/>
                  </w14:solidFill>
                </w14:textFill>
              </w:rPr>
              <w:t>坚持“生态兴旅、以旅促农”为导向，按照“工业强镇、产业富镇、旅游兴镇”发展思路，以结构调整为主线、以三产融合为路径、以项目建设为抓手，构建以农业为基础、工业为支撑、旅游为补充的现代产业体系</w:t>
            </w:r>
            <w:r>
              <w:rPr>
                <w:rFonts w:hint="default" w:ascii="Times New Roman" w:hAnsi="Times New Roman" w:cs="Times New Roman"/>
                <w:b w:val="0"/>
                <w:bCs w:val="0"/>
                <w:color w:val="000000" w:themeColor="text1"/>
                <w:sz w:val="28"/>
                <w:szCs w:val="28"/>
                <w:lang w:eastAsia="zh-CN"/>
                <w14:textFill>
                  <w14:solidFill>
                    <w14:schemeClr w14:val="tx1"/>
                  </w14:solidFill>
                </w14:textFill>
              </w:rPr>
              <w:t>。</w:t>
            </w:r>
            <w:r>
              <w:rPr>
                <w:rFonts w:hint="default" w:ascii="Times New Roman" w:hAnsi="Times New Roman" w:cs="Times New Roman"/>
                <w:b w:val="0"/>
                <w:bCs w:val="0"/>
                <w:color w:val="000000" w:themeColor="text1"/>
                <w:sz w:val="28"/>
                <w:szCs w:val="28"/>
                <w14:textFill>
                  <w14:solidFill>
                    <w14:schemeClr w14:val="tx1"/>
                  </w14:solidFill>
                </w14:textFill>
              </w:rPr>
              <w:t>深入推进农业产业化发展，培育壮大东湖白鹅、伟润水产、魏圩山羊、赵前麻鸭等产业，实施好淮粮肉牛养殖项目建设，打造现代化养殖加工一体化肉牛基地。积极推动电商新业态发展，大力扶持农管家电子商务有限公司、君牧商贸有限责任公司电商业务做大做强，谋划建设电商产业园，培养更多直播带货人才，助力潘集农产品热销全国。奋力开展旅游强镇建设，依托凤台县抗日民主政府纪念园、创大生态园、小圩村生态湿地公园等资源，借助自媒体传播平台扩大知名度，同时夯实配套设施建设，推动旅游经济快速发展。</w:t>
            </w:r>
          </w:p>
          <w:p>
            <w:pPr>
              <w:pageBreakBefore w:val="0"/>
              <w:widowControl w:val="0"/>
              <w:kinsoku/>
              <w:wordWrap/>
              <w:overflowPunct/>
              <w:topLinePunct w:val="0"/>
              <w:autoSpaceDE/>
              <w:autoSpaceDN/>
              <w:bidi w:val="0"/>
              <w:adjustRightInd/>
              <w:spacing w:line="600" w:lineRule="exact"/>
              <w:ind w:left="0" w:leftChars="0" w:firstLine="562"/>
              <w:textAlignment w:val="auto"/>
              <w:rPr>
                <w:rFonts w:hint="default" w:ascii="Times New Roman" w:hAnsi="Times New Roman" w:eastAsia="楷体_GB2312" w:cs="Times New Roman"/>
                <w:color w:val="000000" w:themeColor="text1"/>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【贺疃镇】打造特色农业高品质发展示范区。</w:t>
            </w:r>
            <w:r>
              <w:rPr>
                <w:rFonts w:hint="default" w:ascii="Times New Roman" w:hAnsi="Times New Roman" w:cs="Times New Roman"/>
                <w:color w:val="000000" w:themeColor="text1"/>
                <w:sz w:val="28"/>
                <w:szCs w:val="28"/>
                <w14:textFill>
                  <w14:solidFill>
                    <w14:schemeClr w14:val="tx1"/>
                  </w14:solidFill>
                </w14:textFill>
              </w:rPr>
              <w:t>坚决扛实粮食安全主体责任。重点谋划10000亩高标准农田新建和提升项目，抓好配套水利、道路项目建设，以工程丈量民情、以质量回馈群众。持续壮大特色产业规模。坚持“一村一品”发展思路，持续扩大中药材、种养殖、精品瓜果等规模，打造具有贺疃特色的“农”字品牌。</w:t>
            </w:r>
          </w:p>
        </w:tc>
      </w:tr>
    </w:tbl>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二、促进城乡要素顺畅流动</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统筹城乡发展规划，打破城乡二元结构，实现城乡规划一张图，促进城乡空间布局合理优化</w:t>
      </w:r>
      <w:r>
        <w:rPr>
          <w:rFonts w:hint="default" w:cs="Times New Roman"/>
          <w:lang w:val="en-US" w:eastAsia="zh-CN"/>
        </w:rPr>
        <w:t>。</w:t>
      </w:r>
      <w:r>
        <w:rPr>
          <w:rFonts w:hint="default" w:ascii="Times New Roman" w:hAnsi="Times New Roman" w:cs="Times New Roman"/>
          <w:lang w:val="en-US" w:eastAsia="zh-CN"/>
        </w:rPr>
        <w:t>强化统筹谋划和顶层设计，建立区镇（乡）村一体设计、一并推进机制，统筹区域产业、基础设施、公共服务、基本农田、生态保护、城镇开发、村落分布等布局，加快建立城乡要素自由流动和平等交换的体制机制，推动人才、土地、资金、产业、信息等要素在城乡的双向良性循环。推进农业转移人口市民化，提升农业转移人口市民化质量，完善中心城区综合服务功能，推动义务教育、医疗卫生、社会保险、劳动就业、文化体育等资源向乡镇、乡村延伸拓展，把乡镇建成服务农民的区域中心，加强乡村服务能力建设，实现县乡村功能衔接互补。鼓励和引导人才向乡村流动，吸引各类人才返乡创业。深化农村土地改革，保障进城落户农民土地承包权、宅基地使用权、集体收益分配权，鼓励依法自愿有偿转让。探索开展城乡融合发展改革试点，争取在城乡基础设施一体化、城乡基本公共服务均等化、城乡产业协同发展、城乡社会治理一体化等体制机制改革创新方面取得重大突破。</w:t>
      </w:r>
    </w:p>
    <w:p>
      <w:pPr>
        <w:rPr>
          <w:rFonts w:hint="default" w:ascii="Times New Roman" w:hAnsi="Times New Roman" w:cs="Times New Roman"/>
          <w:lang w:val="en-US" w:eastAsia="zh-CN"/>
        </w:rPr>
      </w:pPr>
    </w:p>
    <w:p>
      <w:pPr>
        <w:rPr>
          <w:rFonts w:hint="default" w:ascii="Times New Roman" w:hAnsi="Times New Roman" w:eastAsia="方正小标宋简体" w:cs="Times New Roman"/>
          <w:highlight w:val="yellow"/>
          <w:lang w:val="en-US" w:eastAsia="zh-CN"/>
        </w:rPr>
      </w:pPr>
      <w:r>
        <w:rPr>
          <w:rFonts w:hint="default" w:ascii="Times New Roman" w:hAnsi="Times New Roman" w:eastAsia="方正小标宋简体" w:cs="Times New Roman"/>
          <w:highlight w:val="yellow"/>
          <w:lang w:val="en-US" w:eastAsia="zh-CN"/>
        </w:rPr>
        <w:br w:type="page"/>
      </w:r>
    </w:p>
    <w:p>
      <w:pPr>
        <w:pStyle w:val="2"/>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简体" w:cs="Times New Roman"/>
          <w:highlight w:val="none"/>
          <w:lang w:val="en-US" w:eastAsia="zh-CN"/>
        </w:rPr>
      </w:pPr>
      <w:bookmarkStart w:id="99" w:name="_Toc16929"/>
      <w:r>
        <w:rPr>
          <w:rFonts w:hint="default" w:ascii="Times New Roman" w:hAnsi="Times New Roman" w:eastAsia="方正小标宋简体" w:cs="Times New Roman"/>
          <w:highlight w:val="none"/>
          <w:lang w:val="en-US" w:eastAsia="zh-CN"/>
        </w:rPr>
        <w:t>第</w:t>
      </w:r>
      <w:r>
        <w:rPr>
          <w:rFonts w:hint="eastAsia" w:eastAsia="方正小标宋简体" w:cs="Times New Roman"/>
          <w:highlight w:val="none"/>
          <w:lang w:val="en-US" w:eastAsia="zh-CN"/>
        </w:rPr>
        <w:t>七</w:t>
      </w:r>
      <w:r>
        <w:rPr>
          <w:rFonts w:hint="default" w:ascii="Times New Roman" w:hAnsi="Times New Roman" w:eastAsia="方正小标宋简体" w:cs="Times New Roman"/>
          <w:highlight w:val="none"/>
          <w:lang w:val="en-US" w:eastAsia="zh-CN"/>
        </w:rPr>
        <w:t>章 深耕“土特产”文章，</w:t>
      </w:r>
      <w:r>
        <w:rPr>
          <w:rFonts w:hint="default" w:ascii="Times New Roman" w:hAnsi="Times New Roman" w:eastAsia="方正小标宋简体" w:cs="Times New Roman"/>
          <w:color w:val="auto"/>
          <w:highlight w:val="none"/>
          <w:lang w:val="en-US" w:eastAsia="zh-CN"/>
        </w:rPr>
        <w:t>开创</w:t>
      </w:r>
      <w:r>
        <w:rPr>
          <w:rFonts w:hint="default" w:ascii="Times New Roman" w:hAnsi="Times New Roman" w:eastAsia="方正小标宋简体" w:cs="Times New Roman"/>
          <w:highlight w:val="none"/>
          <w:lang w:val="en-US" w:eastAsia="zh-CN"/>
        </w:rPr>
        <w:t>乡村全面振兴新局面</w:t>
      </w:r>
      <w:bookmarkEnd w:id="99"/>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坚持农业农村优先发展，以学习运用“千万工程”经验为引领，加快建设宜居宜业和美乡村，扎实推进乡村全面振兴，全力打造高质高效的农业强区。</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00" w:name="_Toc29280"/>
      <w:r>
        <w:rPr>
          <w:rFonts w:hint="default" w:ascii="Times New Roman" w:hAnsi="Times New Roman" w:eastAsia="黑体" w:cs="Times New Roman"/>
          <w:b w:val="0"/>
          <w:bCs/>
          <w:lang w:val="en-US" w:eastAsia="zh-CN"/>
        </w:rPr>
        <w:t xml:space="preserve">第一节 </w:t>
      </w:r>
      <w:r>
        <w:rPr>
          <w:rFonts w:hint="eastAsia" w:eastAsia="黑体" w:cs="Times New Roman"/>
          <w:b w:val="0"/>
          <w:bCs/>
          <w:lang w:val="en-US" w:eastAsia="zh-CN"/>
        </w:rPr>
        <w:t>保障粮食生产能力</w:t>
      </w:r>
      <w:bookmarkEnd w:id="100"/>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以推进千亿斤江淮粮仓建设为抓手，落实藏粮于地、藏粮于技战略，坚决扛稳粮食安全和种子安全重任，坚持最严格的耕地保护制度，加快完善农业水利设施，实施高标准农田改造提升工程，完善农作物病虫害防治体系，提高农业综合效益和竞争力。深入实施优质粮食工程，提升优质专用粮食生产水平。坚决遏制耕地“非粮化”，细化明确耕地“非粮化”整改范围，合理安排恢复时序。积极开展粮食节约行动，坚决制止餐饮浪费行为。确保“十五五”时期全区粮食种植面积稳定在XX万亩以上，产量稳定在XX万吨以上。</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01" w:name="_Toc23585"/>
      <w:r>
        <w:rPr>
          <w:rFonts w:hint="default" w:ascii="Times New Roman" w:hAnsi="Times New Roman" w:eastAsia="黑体" w:cs="Times New Roman"/>
          <w:b w:val="0"/>
          <w:bCs/>
          <w:lang w:val="en-US" w:eastAsia="zh-CN"/>
        </w:rPr>
        <w:t>第二节 构建现代农业产业体系</w:t>
      </w:r>
      <w:bookmarkEnd w:id="101"/>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一、培育壮大四大特色产业</w:t>
      </w:r>
    </w:p>
    <w:p>
      <w:pPr>
        <w:bidi w:val="0"/>
        <w:rPr>
          <w:rFonts w:hint="default" w:ascii="Times New Roman" w:hAnsi="Times New Roman" w:eastAsia="楷体_GB2312" w:cs="Times New Roman"/>
          <w:b/>
          <w:bCs/>
          <w:lang w:val="en-US" w:eastAsia="zh-CN"/>
        </w:rPr>
      </w:pPr>
      <w:r>
        <w:rPr>
          <w:rFonts w:hint="default" w:ascii="Times New Roman" w:hAnsi="Times New Roman" w:eastAsia="楷体_GB2312" w:cs="Times New Roman"/>
          <w:b/>
          <w:bCs/>
          <w:lang w:val="en-US" w:eastAsia="zh-CN"/>
        </w:rPr>
        <w:t>优质粮。</w:t>
      </w:r>
      <w:r>
        <w:rPr>
          <w:rFonts w:hint="default" w:ascii="Times New Roman" w:hAnsi="Times New Roman" w:cs="Times New Roman"/>
          <w:lang w:val="en-US" w:eastAsia="zh-CN"/>
        </w:rPr>
        <w:t>以发展绿色粮食种植加工为方向，加快产、加、销一体化，提高规模化、精品化、绿色化生产水平，做大做强“店集贡米”地理标志农产品品牌，延长产业链条，实施种养结合，因地制宜、适度发展“稻—虾”“稻—鸭”等种养模式，持续开展全国绿色食品标准化生产基地创建。到2030年，打造总产值超过5亿元的龙头企业X家，持续提升“店集贡米”品牌含金量，在长三角地区乃至全国形成一定的知名度和美誉度，发展成为中高端大米品牌。</w:t>
      </w:r>
    </w:p>
    <w:p>
      <w:pPr>
        <w:bidi w:val="0"/>
        <w:rPr>
          <w:rFonts w:hint="default" w:ascii="Times New Roman" w:hAnsi="Times New Roman" w:cs="Times New Roman"/>
          <w:lang w:val="en-US" w:eastAsia="zh-CN"/>
        </w:rPr>
      </w:pPr>
      <w:r>
        <w:rPr>
          <w:rFonts w:hint="default" w:ascii="Times New Roman" w:hAnsi="Times New Roman" w:eastAsia="楷体_GB2312" w:cs="Times New Roman"/>
          <w:b/>
          <w:bCs/>
          <w:lang w:val="en-US" w:eastAsia="zh-CN"/>
        </w:rPr>
        <w:t>蔬菜瓜果。</w:t>
      </w:r>
      <w:r>
        <w:rPr>
          <w:rFonts w:hint="default" w:ascii="Times New Roman" w:hAnsi="Times New Roman" w:cs="Times New Roman"/>
          <w:lang w:val="en-US" w:eastAsia="zh-CN"/>
        </w:rPr>
        <w:t>以提升效益为方向，优化区域布局，集成配套种植技术，大力推广集约化育苗与商品化处理，围绕草莓、葡萄、西瓜、螺丝椒、食用菌等优势地方特色果蔬品种，依托高皇镇万亩蔬菜基地，推进规模化、标准化、集约化生产和产业化经营，进一步提高潘集果蔬市场供应品质和质量安全水平。集中资源重点做响“潘集酥瓜”品牌，建立“潘集酥瓜”生产技术规程和产品生产规范，统一品牌标准、商标标识，精心设计产品包装，开发系列产品，全力提升产品附加值。到2030年，巩固提升“潘集酥瓜”品牌建设成果，不断扩大“潘集酥瓜”产业规模，确保酥瓜种植面积达XX亩以上。</w:t>
      </w:r>
    </w:p>
    <w:p>
      <w:pPr>
        <w:bidi w:val="0"/>
        <w:rPr>
          <w:rFonts w:hint="default" w:ascii="Times New Roman" w:hAnsi="Times New Roman" w:eastAsia="楷体_GB2312" w:cs="Times New Roman"/>
          <w:b/>
          <w:bCs/>
          <w:lang w:val="en-US" w:eastAsia="zh-CN"/>
        </w:rPr>
      </w:pPr>
      <w:r>
        <w:rPr>
          <w:rFonts w:hint="default" w:ascii="Times New Roman" w:hAnsi="Times New Roman" w:eastAsia="楷体_GB2312" w:cs="Times New Roman"/>
          <w:b/>
          <w:bCs/>
          <w:lang w:val="en-US" w:eastAsia="zh-CN"/>
        </w:rPr>
        <w:t>畜禽水产养殖。</w:t>
      </w:r>
      <w:r>
        <w:rPr>
          <w:rFonts w:hint="eastAsia" w:cs="Times New Roman"/>
          <w:lang w:val="en-US" w:eastAsia="zh-CN"/>
        </w:rPr>
        <w:t>充分发挥潘集区与安徽科技学院共建的肉牛研究院的科研优势，加强关键技术培训与指导，深入开展肉牛养殖标准化示范创建工作。</w:t>
      </w:r>
      <w:r>
        <w:rPr>
          <w:rFonts w:hint="default" w:ascii="Times New Roman" w:hAnsi="Times New Roman" w:cs="Times New Roman"/>
          <w:lang w:val="en-US" w:eastAsia="zh-CN"/>
        </w:rPr>
        <w:t>依托潘集养殖产业基础和采煤塌陷区水域资源，推动特色养殖与立体种养相结合</w:t>
      </w:r>
      <w:r>
        <w:rPr>
          <w:rFonts w:hint="eastAsia" w:cs="Times New Roman"/>
          <w:lang w:val="en-US" w:eastAsia="zh-CN"/>
        </w:rPr>
        <w:t>，</w:t>
      </w:r>
      <w:r>
        <w:rPr>
          <w:rFonts w:hint="default" w:ascii="Times New Roman" w:hAnsi="Times New Roman" w:cs="Times New Roman"/>
          <w:lang w:val="en-US" w:eastAsia="zh-CN"/>
        </w:rPr>
        <w:t>持续发展蛋（肉）鸡养殖、太平黄牛养殖、肉羊养殖、生猪养殖、鹌鹑养殖，扩大专业化、标准化养殖规模，加强品种、饲养、防疫配套服务</w:t>
      </w:r>
      <w:r>
        <w:rPr>
          <w:rFonts w:hint="eastAsia" w:cs="Times New Roman"/>
          <w:lang w:val="en-US" w:eastAsia="zh-CN"/>
        </w:rPr>
        <w:t>；</w:t>
      </w:r>
      <w:r>
        <w:rPr>
          <w:rFonts w:hint="default" w:ascii="Times New Roman" w:hAnsi="Times New Roman" w:cs="Times New Roman"/>
          <w:lang w:val="en-US" w:eastAsia="zh-CN"/>
        </w:rPr>
        <w:t>发展东湖白鹅养殖、水产养殖、特色种养，实施健康循环养殖，加强水质监控，推广立体生态健康养殖模式。以项目为支撑，进一步推动</w:t>
      </w:r>
      <w:r>
        <w:rPr>
          <w:rFonts w:hint="eastAsia" w:cs="Times New Roman"/>
          <w:lang w:val="en-US" w:eastAsia="zh-CN"/>
        </w:rPr>
        <w:t>全区</w:t>
      </w:r>
      <w:r>
        <w:rPr>
          <w:rFonts w:hint="default" w:ascii="Times New Roman" w:hAnsi="Times New Roman" w:cs="Times New Roman"/>
          <w:lang w:val="en-US" w:eastAsia="zh-CN"/>
        </w:rPr>
        <w:t>畜禽</w:t>
      </w:r>
      <w:r>
        <w:rPr>
          <w:rFonts w:hint="eastAsia" w:cs="Times New Roman"/>
          <w:lang w:val="en-US" w:eastAsia="zh-CN"/>
        </w:rPr>
        <w:t>水产</w:t>
      </w:r>
      <w:r>
        <w:rPr>
          <w:rFonts w:hint="default" w:ascii="Times New Roman" w:hAnsi="Times New Roman" w:cs="Times New Roman"/>
          <w:lang w:val="en-US" w:eastAsia="zh-CN"/>
        </w:rPr>
        <w:t>养殖业发展提质增效</w:t>
      </w:r>
      <w:r>
        <w:rPr>
          <w:rFonts w:hint="eastAsia" w:cs="Times New Roman"/>
          <w:lang w:val="en-US" w:eastAsia="zh-CN"/>
        </w:rPr>
        <w:t>，积极推动现代渔业全产业链等一批项目落地。</w:t>
      </w:r>
      <w:r>
        <w:rPr>
          <w:rFonts w:hint="default" w:ascii="Times New Roman" w:hAnsi="Times New Roman" w:cs="Times New Roman"/>
          <w:lang w:val="en-US" w:eastAsia="zh-CN"/>
        </w:rPr>
        <w:t>到2030年，蛋鸡、肉鸡养殖存栏XX万</w:t>
      </w:r>
      <w:r>
        <w:rPr>
          <w:rFonts w:hint="eastAsia" w:cs="Times New Roman"/>
          <w:lang w:val="en-US" w:eastAsia="zh-CN"/>
        </w:rPr>
        <w:t>只</w:t>
      </w:r>
      <w:r>
        <w:rPr>
          <w:rFonts w:hint="default" w:ascii="Times New Roman" w:hAnsi="Times New Roman" w:cs="Times New Roman"/>
          <w:lang w:val="en-US" w:eastAsia="zh-CN"/>
        </w:rPr>
        <w:t>、肉牛养殖年出栏XX万头、肉羊养殖年出栏XX万头、生猪养殖年出栏XX万头、鹌鹑养殖存栏XX</w:t>
      </w:r>
      <w:r>
        <w:rPr>
          <w:rFonts w:hint="eastAsia" w:cs="Times New Roman"/>
          <w:lang w:val="en-US" w:eastAsia="zh-CN"/>
        </w:rPr>
        <w:t>万只</w:t>
      </w:r>
      <w:r>
        <w:rPr>
          <w:rFonts w:hint="default" w:ascii="Times New Roman" w:hAnsi="Times New Roman" w:cs="Times New Roman"/>
          <w:lang w:val="en-US" w:eastAsia="zh-CN"/>
        </w:rPr>
        <w:t>；白鹅养殖存栏XX万羽、水产养殖XX亩、立体种养XX亩。</w:t>
      </w:r>
    </w:p>
    <w:p>
      <w:pPr>
        <w:bidi w:val="0"/>
        <w:rPr>
          <w:rFonts w:hint="default" w:ascii="Times New Roman" w:hAnsi="Times New Roman" w:cs="Times New Roman"/>
          <w:lang w:val="en-US" w:eastAsia="zh-CN"/>
        </w:rPr>
      </w:pPr>
      <w:r>
        <w:rPr>
          <w:rFonts w:hint="default" w:ascii="Times New Roman" w:hAnsi="Times New Roman" w:eastAsia="楷体_GB2312" w:cs="Times New Roman"/>
          <w:b/>
          <w:bCs/>
          <w:lang w:val="en-US" w:eastAsia="zh-CN"/>
        </w:rPr>
        <w:t>农产品加工。</w:t>
      </w:r>
      <w:r>
        <w:rPr>
          <w:rFonts w:hint="default" w:ascii="Times New Roman" w:hAnsi="Times New Roman" w:cs="Times New Roman"/>
          <w:lang w:val="en-US" w:eastAsia="zh-CN"/>
        </w:rPr>
        <w:t>鼓励农民合作社、家庭农场和中小微企业等发展农产品产地初加工，实现减损增效，强化头部企业引领作用，大力发展农产品精深加工，加快构建以粮油、蔬菜、水果、畜禽</w:t>
      </w:r>
      <w:r>
        <w:rPr>
          <w:rFonts w:hint="eastAsia" w:cs="Times New Roman"/>
          <w:lang w:val="en-US" w:eastAsia="zh-CN"/>
        </w:rPr>
        <w:t>水产、豆制品</w:t>
      </w:r>
      <w:r>
        <w:rPr>
          <w:rFonts w:hint="default" w:ascii="Times New Roman" w:hAnsi="Times New Roman" w:cs="Times New Roman"/>
          <w:lang w:val="en-US" w:eastAsia="zh-CN"/>
        </w:rPr>
        <w:t>加工为主导的农产品加工业格局。紧盯</w:t>
      </w:r>
      <w:r>
        <w:rPr>
          <w:rFonts w:hint="eastAsia" w:cs="Times New Roman"/>
          <w:lang w:val="en-US" w:eastAsia="zh-CN"/>
        </w:rPr>
        <w:t>全市布局淮南</w:t>
      </w:r>
      <w:r>
        <w:rPr>
          <w:rFonts w:hint="default" w:ascii="Times New Roman" w:hAnsi="Times New Roman" w:cs="Times New Roman"/>
          <w:lang w:val="en-US" w:eastAsia="zh-CN"/>
        </w:rPr>
        <w:t>牛肉汤和豆制品</w:t>
      </w:r>
      <w:r>
        <w:rPr>
          <w:rFonts w:hint="eastAsia" w:cs="Times New Roman"/>
          <w:lang w:val="en-US" w:eastAsia="zh-CN"/>
        </w:rPr>
        <w:t>两大核心产业</w:t>
      </w:r>
      <w:r>
        <w:rPr>
          <w:rFonts w:hint="default" w:ascii="Times New Roman" w:hAnsi="Times New Roman" w:cs="Times New Roman"/>
          <w:lang w:val="en-US" w:eastAsia="zh-CN"/>
        </w:rPr>
        <w:t>，立足</w:t>
      </w:r>
      <w:r>
        <w:rPr>
          <w:rFonts w:hint="eastAsia" w:cs="Times New Roman"/>
          <w:lang w:val="en-US" w:eastAsia="zh-CN"/>
        </w:rPr>
        <w:t>全区</w:t>
      </w:r>
      <w:r>
        <w:rPr>
          <w:rFonts w:hint="default" w:ascii="Times New Roman" w:hAnsi="Times New Roman" w:cs="Times New Roman"/>
          <w:lang w:val="en-US" w:eastAsia="zh-CN"/>
        </w:rPr>
        <w:t>10万亩部级绿色大豆原料生产基地和平圩豆制品</w:t>
      </w:r>
      <w:r>
        <w:rPr>
          <w:rFonts w:hint="eastAsia" w:cs="Times New Roman"/>
          <w:lang w:val="en-US" w:eastAsia="zh-CN"/>
        </w:rPr>
        <w:t>制造</w:t>
      </w:r>
      <w:r>
        <w:rPr>
          <w:rFonts w:hint="default" w:ascii="Times New Roman" w:hAnsi="Times New Roman" w:cs="Times New Roman"/>
          <w:lang w:val="en-US" w:eastAsia="zh-CN"/>
        </w:rPr>
        <w:t>优势，培育</w:t>
      </w:r>
      <w:r>
        <w:rPr>
          <w:rFonts w:hint="eastAsia" w:cs="Times New Roman"/>
          <w:lang w:val="en-US" w:eastAsia="zh-CN"/>
        </w:rPr>
        <w:t>壮大</w:t>
      </w:r>
      <w:r>
        <w:rPr>
          <w:rFonts w:hint="default" w:ascii="Times New Roman" w:hAnsi="Times New Roman" w:cs="Times New Roman"/>
          <w:lang w:val="en-US" w:eastAsia="zh-CN"/>
        </w:rPr>
        <w:t>豆制品</w:t>
      </w:r>
      <w:r>
        <w:rPr>
          <w:rFonts w:hint="eastAsia" w:cs="Times New Roman"/>
          <w:lang w:val="en-US" w:eastAsia="zh-CN"/>
        </w:rPr>
        <w:t>加工业；依托全区肉牛养殖基地项目，持续加深与安徽省科技学院合作</w:t>
      </w:r>
      <w:r>
        <w:rPr>
          <w:rFonts w:hint="default" w:ascii="Times New Roman" w:hAnsi="Times New Roman" w:cs="Times New Roman"/>
          <w:lang w:val="en-US" w:eastAsia="zh-CN"/>
        </w:rPr>
        <w:t>，</w:t>
      </w:r>
      <w:r>
        <w:rPr>
          <w:rFonts w:hint="eastAsia" w:cs="Times New Roman"/>
          <w:lang w:val="en-US" w:eastAsia="zh-CN"/>
        </w:rPr>
        <w:t>积极</w:t>
      </w:r>
      <w:r>
        <w:rPr>
          <w:rFonts w:hint="default" w:ascii="Times New Roman" w:hAnsi="Times New Roman" w:cs="Times New Roman"/>
          <w:lang w:val="en-US" w:eastAsia="zh-CN"/>
        </w:rPr>
        <w:t>打造一条肉牛种源</w:t>
      </w:r>
      <w:r>
        <w:rPr>
          <w:rFonts w:hint="eastAsia" w:cs="Times New Roman"/>
          <w:lang w:val="en-US" w:eastAsia="zh-CN"/>
        </w:rPr>
        <w:t>-</w:t>
      </w:r>
      <w:r>
        <w:rPr>
          <w:rFonts w:hint="default" w:ascii="Times New Roman" w:hAnsi="Times New Roman" w:cs="Times New Roman"/>
          <w:lang w:val="en-US" w:eastAsia="zh-CN"/>
        </w:rPr>
        <w:t>粗料生产</w:t>
      </w:r>
      <w:r>
        <w:rPr>
          <w:rFonts w:hint="eastAsia" w:cs="Times New Roman"/>
          <w:lang w:val="en-US" w:eastAsia="zh-CN"/>
        </w:rPr>
        <w:t>-</w:t>
      </w:r>
      <w:r>
        <w:rPr>
          <w:rFonts w:hint="default" w:ascii="Times New Roman" w:hAnsi="Times New Roman" w:cs="Times New Roman"/>
          <w:lang w:val="en-US" w:eastAsia="zh-CN"/>
        </w:rPr>
        <w:t>养殖管理</w:t>
      </w:r>
      <w:r>
        <w:rPr>
          <w:rFonts w:hint="eastAsia" w:cs="Times New Roman"/>
          <w:lang w:val="en-US" w:eastAsia="zh-CN"/>
        </w:rPr>
        <w:t>-</w:t>
      </w:r>
      <w:r>
        <w:rPr>
          <w:rFonts w:hint="default" w:ascii="Times New Roman" w:hAnsi="Times New Roman" w:cs="Times New Roman"/>
          <w:lang w:val="en-US" w:eastAsia="zh-CN"/>
        </w:rPr>
        <w:t>产品加工</w:t>
      </w:r>
      <w:r>
        <w:rPr>
          <w:rFonts w:hint="eastAsia" w:cs="Times New Roman"/>
          <w:lang w:val="en-US" w:eastAsia="zh-CN"/>
        </w:rPr>
        <w:t>的</w:t>
      </w:r>
      <w:r>
        <w:rPr>
          <w:rFonts w:hint="default" w:ascii="Times New Roman" w:hAnsi="Times New Roman" w:cs="Times New Roman"/>
          <w:lang w:val="en-US" w:eastAsia="zh-CN"/>
        </w:rPr>
        <w:t>全链条服务体系</w:t>
      </w:r>
      <w:r>
        <w:rPr>
          <w:rFonts w:hint="eastAsia" w:cs="Times New Roman"/>
          <w:lang w:val="en-US" w:eastAsia="zh-CN"/>
        </w:rPr>
        <w:t>，加大招商引资力度，打造淮南牛肉汤原料生产基地</w:t>
      </w:r>
      <w:r>
        <w:rPr>
          <w:rFonts w:hint="default" w:ascii="Times New Roman" w:hAnsi="Times New Roman" w:cs="Times New Roman"/>
          <w:lang w:val="en-US" w:eastAsia="zh-CN"/>
        </w:rPr>
        <w:t>。力争到2030年，全区农产品加工总产值突破XX亿元。</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二、提升农业产业园区能级</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加大高皇现代农业产业园、潘集农业科技园区两大省级农业产业园区建设力度，以高皇镇生态农业示范基地建设为抓手，推动高皇现代农业产业园申报国家级农业科技园区。进一步强化顶层设计，加快编制形成两大园区发展专项规划，推动资金、技术、人才、项目等优质资源向园区集聚，充分发挥两大园区平台载体功能，引导农产品及食品加工企业进园入区发展，支持龙头企业重心下沉建设加工原料专用基地，鼓励家庭农场、合作社以及村集体经济组织创建“第一车间”“乡村工厂”，促进一、二、三产业融合发展，创新生产形式、组织形态和利益分配模式，加快形成功能多样、高效生态、产业融合的现代农业园区。立足现有产业基础和未来发展要求，谋划建立一批稻、麦、畜、禽、水产不同规模的农产品加工园区。</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三、持续推进</w:t>
      </w:r>
      <w:r>
        <w:rPr>
          <w:rFonts w:hint="eastAsia" w:cs="Times New Roman"/>
          <w:lang w:val="en-US" w:eastAsia="zh-CN"/>
        </w:rPr>
        <w:t>品牌</w:t>
      </w:r>
      <w:r>
        <w:rPr>
          <w:rFonts w:hint="default" w:ascii="Times New Roman" w:hAnsi="Times New Roman" w:cs="Times New Roman"/>
          <w:lang w:val="en-US" w:eastAsia="zh-CN"/>
        </w:rPr>
        <w:t>强农</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扎实推进长三角绿色食品生产加工供应基地创建工作，支持引导农业经营主体积极申报“二品一标”农产品认证，组织农业经营主体积极参加合肥农交会、上海农交会推介潘集特色农产品，加强农产品质量安全监管工作，强化农产品可追溯体系建设，保障潘集区农产品质量安全，力争</w:t>
      </w:r>
      <w:r>
        <w:rPr>
          <w:rFonts w:hint="default" w:cs="Times New Roman"/>
          <w:lang w:val="en-US" w:eastAsia="zh-CN"/>
        </w:rPr>
        <w:t>“</w:t>
      </w:r>
      <w:r>
        <w:rPr>
          <w:rFonts w:hint="default" w:ascii="Times New Roman" w:hAnsi="Times New Roman" w:cs="Times New Roman"/>
          <w:lang w:val="en-US" w:eastAsia="zh-CN"/>
        </w:rPr>
        <w:t>十五五</w:t>
      </w:r>
      <w:r>
        <w:rPr>
          <w:rFonts w:hint="default" w:cs="Times New Roman"/>
          <w:lang w:val="en-US" w:eastAsia="zh-CN"/>
        </w:rPr>
        <w:t>”</w:t>
      </w:r>
      <w:r>
        <w:rPr>
          <w:rFonts w:hint="default" w:ascii="Times New Roman" w:hAnsi="Times New Roman" w:cs="Times New Roman"/>
          <w:lang w:val="en-US" w:eastAsia="zh-CN"/>
        </w:rPr>
        <w:t>时期成功创建“皖美农品”区域公共品牌X个、“皖美农品”产品品牌X个、“淮畔良品”品牌X个。做好品牌宣传推介，借助淮南豆制品展销会、农民丰收节、潘集酥瓜节和各类农贸会等渠道，利用电商平台、线上线下融合、“互联网+”等新型手段，深度挖掘农业品牌文化内涵，加强品牌市场营销，讲好品牌故事，不断扩大潘集农产品的知名度和影响力。强化“潘集酥瓜”“店集贡米”“高皇萝卜”等特色农产品品牌保护，加大对套牌和滥用品牌行为惩处力度，建立区域公用品牌的授权使用机制以及品牌危机预警、风险规避和紧急事件应对机制。</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四、深度推进</w:t>
      </w:r>
      <w:r>
        <w:rPr>
          <w:rFonts w:hint="eastAsia" w:cs="Times New Roman"/>
          <w:lang w:val="en-US" w:eastAsia="zh-CN"/>
        </w:rPr>
        <w:t>科技</w:t>
      </w:r>
      <w:r>
        <w:rPr>
          <w:rFonts w:hint="default" w:ascii="Times New Roman" w:hAnsi="Times New Roman" w:cs="Times New Roman"/>
          <w:lang w:val="en-US" w:eastAsia="zh-CN"/>
        </w:rPr>
        <w:t>强农</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鼓励企业、研发机构、高等院校、科研院所等开展农业领域产学研用紧密合作，通过联合建立研究开发平台、技术创新联盟、综合试验基地等方式，共同开展研究开发、成果应用与推广、标准研究与制定等活动，力争“十五五”期间建成省级以上农业科技平台2个。深入推进农技推广体系建设与改革，加大高素质农民培育力度，深化“科技特派员+”制度，依托贡米科技特派团打造省级重点研发平台，推广“科技特派员+合作社+农户”模式。强化种质资源保护与利用，加快良种繁育与推广，推进种质资源的鉴定评价与优异资源挖掘利用，积极申报潘集酥瓜省级农业种质资源保种场。不断加强水稻育秧插秧中心、粮食烘干中心、全程机械化综合农事服务中心建设，加快智慧农业发展，加强科技成果转移转化和推广应用，到2030年建成省级数字农业工厂X个、数字应用场景X个。</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bookmarkStart w:id="102" w:name="_Toc8083"/>
      <w:r>
        <w:rPr>
          <w:rFonts w:hint="default" w:ascii="Times New Roman" w:hAnsi="Times New Roman" w:eastAsia="黑体" w:cs="Times New Roman"/>
          <w:b w:val="0"/>
          <w:bCs/>
          <w:lang w:val="en-US" w:eastAsia="zh-CN"/>
        </w:rPr>
        <w:t>第三节 加快建设新时代和美乡村</w:t>
      </w:r>
      <w:bookmarkEnd w:id="102"/>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一、不断提升农村人居环境</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深入实施乡村建设行动，持续推进农村厕所革命，结合本地实际与农民需要，合理制定新一轮改厕目标任务和推进方案，科学选择改厕模式，重点对不能纳入管网集中收集处置系统的自然村常住农户实施卫生厕所改造，加强改厕与生活污水治理有效衔接。大力开展农村生活污水治理，因地制宜采取资源化利用、生态化处理、纳入城镇污水管网/厂、集中或分散处理方式治理，优先选择资源化利用和生态化处理模式治理。全面排查农村黑臭水体周边的污水处理设施，巩固乡镇政府驻地生活污水处理设施提质增效建设成果，查找乡镇政府驻地生活污水处理设施存在的问题和短板，建立运维情况及问题整改台账，分类推进整治，持续提升运行维护管理水平。不断完善“户集村收、公司转运、集中处理”为主的农村生活垃圾市场化收运处置体系。按照“减量优先、鼓励分类、城乡统筹、综合治理”的原则，推行适合农村特点的垃圾就地分类和资源化利用方式，鼓励城乡垃圾一体化处理，规划建设一批农村有机废弃物综合利用处理设施，支持各乡镇、村采取有偿回收的方式，推进废旧农膜、农药、肥料、包装废弃物的回收处理，妥善处置有毒有害生活垃圾。</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二、扎实推进农业绿色发展</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按照“源头减量、过程控制、末端利用”的要求，</w:t>
      </w:r>
      <w:r>
        <w:rPr>
          <w:rFonts w:hint="eastAsia" w:cs="Times New Roman"/>
          <w:lang w:val="en-US" w:eastAsia="zh-CN"/>
        </w:rPr>
        <w:t>推进</w:t>
      </w:r>
      <w:r>
        <w:rPr>
          <w:rFonts w:hint="default" w:ascii="Times New Roman" w:hAnsi="Times New Roman" w:cs="Times New Roman"/>
          <w:lang w:val="en-US" w:eastAsia="zh-CN"/>
        </w:rPr>
        <w:t>农业产业全产业链生产</w:t>
      </w:r>
      <w:r>
        <w:rPr>
          <w:rFonts w:hint="eastAsia" w:cs="Times New Roman"/>
          <w:lang w:val="en-US" w:eastAsia="zh-CN"/>
        </w:rPr>
        <w:t>实现</w:t>
      </w:r>
      <w:r>
        <w:rPr>
          <w:rFonts w:hint="default" w:ascii="Times New Roman" w:hAnsi="Times New Roman" w:cs="Times New Roman"/>
          <w:lang w:val="en-US" w:eastAsia="zh-CN"/>
        </w:rPr>
        <w:t>资源循环再利用。大力推广绿色发展技术，积极引导和鼓励农民合理使用农药、化肥，减量化使用。加强畜禽养殖废弃物</w:t>
      </w:r>
      <w:r>
        <w:rPr>
          <w:rFonts w:hint="eastAsia" w:cs="Times New Roman"/>
          <w:lang w:val="en-US" w:eastAsia="zh-CN"/>
        </w:rPr>
        <w:t>资源</w:t>
      </w:r>
      <w:r>
        <w:rPr>
          <w:rFonts w:hint="default" w:ascii="Times New Roman" w:hAnsi="Times New Roman" w:cs="Times New Roman"/>
          <w:lang w:val="en-US" w:eastAsia="zh-CN"/>
        </w:rPr>
        <w:t>循环利用</w:t>
      </w:r>
      <w:r>
        <w:rPr>
          <w:rFonts w:hint="eastAsia" w:cs="Times New Roman"/>
          <w:lang w:val="en-US" w:eastAsia="zh-CN"/>
        </w:rPr>
        <w:t>，</w:t>
      </w:r>
      <w:r>
        <w:rPr>
          <w:rFonts w:hint="default" w:ascii="Times New Roman" w:hAnsi="Times New Roman" w:cs="Times New Roman"/>
          <w:lang w:val="en-US" w:eastAsia="zh-CN"/>
        </w:rPr>
        <w:t>促进畜禽粪污沼气化、肥料化利用</w:t>
      </w:r>
      <w:r>
        <w:rPr>
          <w:rFonts w:hint="eastAsia" w:cs="Times New Roman"/>
          <w:lang w:val="en-US" w:eastAsia="zh-CN"/>
        </w:rPr>
        <w:t>，加强粪污处理设施日常维护和管理，指导新建的畜禽场治污减排设施和畜禽场建设同步，推广畜牧业绿色低碳循环模式生产。推进</w:t>
      </w:r>
      <w:r>
        <w:rPr>
          <w:rFonts w:hint="default" w:ascii="Times New Roman" w:hAnsi="Times New Roman" w:cs="Times New Roman"/>
          <w:lang w:val="en-US" w:eastAsia="zh-CN"/>
        </w:rPr>
        <w:t>农作物秸秆“五化”利用及农业生产包装物综合利用，加快农业面源污染治理。大力推广植物病虫害的绿色防控，提倡使用有机肥，积极推广科学测土配方施肥，大力推广水肥一体化技术，同时加强对土壤农作物污染监测力度。常态化开展淮河潘集段淮王鱼国家级水产种质资源保护区十年禁渔，持续巩固提升禁渔成效。力争到2030年农作物秸秆、畜禽粪污综合利用率分别达XX%、XX%，农膜、农药包装废弃物回收率分别达XX%、XX%。</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三、接续打造美丽宜居乡村</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深入实施“千万工程”，重点保障架河镇杨集村、古沟回族乡太平村精品示范村建设，加快开展2026-2030年省级中心村和精品示范村建设前期谋划工作。强化农房管控和乡村风貌提升，大力支持古沟回族乡发展特色民族村。扎实推进乡村基础设施建设，深入实施农村公路提质改造、供水保障、电网巩固提升、乡村网络提升等工程，促进客货邮一体化运营，推动冷链配送和即时零售向农村延伸。深入实施乡村旅游精品工程，积极推进农业与旅游、休闲、文化、教育、康养等产业深度融合，打响潘集乡村旅游品牌。推进现代都市型农业发展，依托高皇现代农业产业园、潘集农业科技园区，支持发展休闲观光农业，鼓励发展生态旅游、民俗文化、休闲观光等农业发展新业态。</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四、持续巩固拓展脱贫攻坚成果</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着力强化完善过渡期后帮扶政策体系</w:t>
      </w:r>
      <w:r>
        <w:rPr>
          <w:rFonts w:hint="eastAsia" w:cs="Times New Roman"/>
          <w:lang w:val="en-US" w:eastAsia="zh-CN"/>
        </w:rPr>
        <w:t>，</w:t>
      </w:r>
      <w:r>
        <w:rPr>
          <w:rFonts w:hint="default" w:ascii="Times New Roman" w:hAnsi="Times New Roman" w:cs="Times New Roman"/>
          <w:lang w:val="en-US" w:eastAsia="zh-CN"/>
        </w:rPr>
        <w:t>保持现有主要帮扶政策总体稳定，完善覆盖农村人口的常态化防止返贫致贫机制，定期组织开展防止返贫监测帮扶集中排查，常态化识别认定和风险消除，全面落实帮扶措施，加强农村高额医疗费用负担患者等重点群体监测预警，牢牢守住不发生规模性返贫致贫的底线。坚持分类管理、精准施策，对有劳动能力的人口，落实产业就业等开发式帮扶措施；对缺乏劳动能力、无法通过产业就业获得稳定收入的人口，完善相关社会救助政策。加强对乡村振兴重点帮扶村支持力度，着力补齐相关地区农村基础设施短板，优先布局产业发展所需配套设施，因地制宜大力发展乡村特色产业，规范开展脱贫人口小额信贷工作，深入推进“雨露计划+”就业促进行动，强化乡村公益性岗位开发管理，兜牢脱贫人口、监测对象务工就业底线，确保脱贫劳动力就业规模稳定在0.6万人。全面提升“五大帮扶”水平，扎实推动领导联系帮扶，常态化抓好定点帮扶，压紧压实驻村选派责任，着力打造县域结对帮扶亮点特色，全面推动社会帮扶再上台阶。</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03" w:name="_Toc17038"/>
      <w:r>
        <w:rPr>
          <w:rFonts w:hint="default" w:ascii="Times New Roman" w:hAnsi="Times New Roman" w:eastAsia="黑体" w:cs="Times New Roman"/>
          <w:b w:val="0"/>
          <w:bCs/>
          <w:lang w:val="en-US" w:eastAsia="zh-CN"/>
        </w:rPr>
        <w:t>第四节 持续深化农村综合改革</w:t>
      </w:r>
      <w:bookmarkEnd w:id="103"/>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深化农村土地制度改革，全面开展二轮土地延包工作，加快农业生产“大托管”提质扩面，积极落实承包地“三权”分置改革，引导土地经营权规范有序流转。加强农村宅基地规范管理，允许农户合法拥有的住房通过出租、入股、合作等方式盘活利用。巩固提升农村集体产权制度改革成果，加强农村集体经济组织运营监管，持续开展农村集体“三资”突出问题整治工作。加大对村集体经济发展的扶持力度，探索资源发包、物业出租、居间服务、资产参股等多样化途径发展新型农村集体经济。持续发展壮大新型农村集体经济，积极培育新型农业经营主体和服务主体。加快农村金融改革，加强农村中小金融机构支农支小定位，加快农村信用社改革化险，推动村镇银行结构性重组。发展农村数字普惠金融，鼓励国有商业银行等金融机构加强产品和服务创新，把更多的资金配置到宜居宜业和美乡村建设中，向精品示范村和省级中心村建设提供定制化金融产品，鼓励各类保险公司优化或创设更多小额保险和专属普惠保险产品。推进农村信用体系建设，建立健全市场化涉农金融风险补偿机制。支持以市场化方式依法设立乡村振兴基金，引导和规范农业农村领域社会投资。</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top"/>
          </w:tcPr>
          <w:p>
            <w:pPr>
              <w:pStyle w:val="5"/>
              <w:bidi w:val="0"/>
              <w:rPr>
                <w:rFonts w:hint="default" w:ascii="Times New Roman" w:hAnsi="Times New Roman" w:eastAsia="楷体_GB2312" w:cs="Times New Roman"/>
                <w:szCs w:val="28"/>
              </w:rPr>
            </w:pPr>
            <w:bookmarkStart w:id="104" w:name="_Toc4061"/>
            <w:r>
              <w:rPr>
                <w:rFonts w:hint="default"/>
              </w:rPr>
              <w:t>专栏</w:t>
            </w:r>
            <w:r>
              <w:rPr>
                <w:rFonts w:hint="default"/>
                <w:lang w:val="en-US" w:eastAsia="zh-CN"/>
              </w:rPr>
              <w:t>7</w:t>
            </w:r>
            <w:r>
              <w:rPr>
                <w:rFonts w:hint="eastAsia"/>
                <w:lang w:val="en-US" w:eastAsia="zh-CN"/>
              </w:rPr>
              <w:t xml:space="preserve"> </w:t>
            </w:r>
            <w:r>
              <w:rPr>
                <w:rFonts w:hint="default"/>
                <w:lang w:val="en-US" w:eastAsia="zh-CN"/>
              </w:rPr>
              <w:t>乡村全面振兴</w:t>
            </w:r>
            <w:r>
              <w:rPr>
                <w:rFonts w:hint="default"/>
              </w:rPr>
              <w:t>重点项目</w:t>
            </w:r>
            <w:bookmarkEnd w:id="10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top"/>
          </w:tcPr>
          <w:p>
            <w:pPr>
              <w:keepNext w:val="0"/>
              <w:keepLines w:val="0"/>
              <w:pageBreakBefore w:val="0"/>
              <w:widowControl w:val="0"/>
              <w:kinsoku/>
              <w:wordWrap/>
              <w:overflowPunct/>
              <w:topLinePunct w:val="0"/>
              <w:autoSpaceDE/>
              <w:autoSpaceDN/>
              <w:bidi w:val="0"/>
              <w:adjustRightInd/>
              <w:snapToGrid/>
              <w:spacing w:line="600" w:lineRule="exact"/>
              <w:ind w:left="0" w:leftChars="0" w:firstLine="562"/>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现代农业项目。</w:t>
            </w:r>
            <w:r>
              <w:rPr>
                <w:rFonts w:hint="default" w:ascii="Times New Roman" w:hAnsi="Times New Roman" w:eastAsia="仿宋_GB2312" w:cs="Times New Roman"/>
                <w:sz w:val="28"/>
                <w:szCs w:val="28"/>
                <w:lang w:eastAsia="zh-CN"/>
              </w:rPr>
              <w:t>淮南市潘集区现代农业三产融合发展产业园项目</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lang w:eastAsia="zh-CN"/>
              </w:rPr>
              <w:t>潘集区现代渔业全产业链项目</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lang w:eastAsia="zh-CN"/>
              </w:rPr>
              <w:t>新建温棚养殖甲鱼</w:t>
            </w:r>
            <w:r>
              <w:rPr>
                <w:rFonts w:hint="default" w:ascii="Times New Roman" w:hAnsi="Times New Roman" w:cs="Times New Roman"/>
                <w:sz w:val="28"/>
                <w:szCs w:val="28"/>
                <w:lang w:val="en-US" w:eastAsia="zh-CN"/>
              </w:rPr>
              <w:t>项目</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lang w:eastAsia="zh-CN"/>
              </w:rPr>
              <w:t>平圩电厂余热日光温室牛蛙养殖</w:t>
            </w:r>
            <w:r>
              <w:rPr>
                <w:rFonts w:hint="default" w:ascii="Times New Roman" w:hAnsi="Times New Roman" w:cs="Times New Roman"/>
                <w:sz w:val="28"/>
                <w:szCs w:val="28"/>
                <w:lang w:val="en-US" w:eastAsia="zh-CN"/>
              </w:rPr>
              <w:t>项目</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lang w:eastAsia="zh-CN"/>
              </w:rPr>
              <w:t>观赏鱼（锦鲤）繁育基地建设</w:t>
            </w:r>
            <w:r>
              <w:rPr>
                <w:rFonts w:hint="default" w:ascii="Times New Roman" w:hAnsi="Times New Roman" w:cs="Times New Roman"/>
                <w:sz w:val="28"/>
                <w:szCs w:val="28"/>
                <w:lang w:val="en-US" w:eastAsia="zh-CN"/>
              </w:rPr>
              <w:t>项目</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lang w:eastAsia="zh-CN"/>
              </w:rPr>
              <w:t>臭鲈鱼</w:t>
            </w:r>
            <w:r>
              <w:rPr>
                <w:rFonts w:hint="default" w:ascii="Times New Roman" w:hAnsi="Times New Roman" w:cs="Times New Roman"/>
                <w:sz w:val="28"/>
                <w:szCs w:val="28"/>
                <w:lang w:val="en-US" w:eastAsia="zh-CN"/>
              </w:rPr>
              <w:t>及</w:t>
            </w:r>
            <w:r>
              <w:rPr>
                <w:rFonts w:hint="default" w:ascii="Times New Roman" w:hAnsi="Times New Roman" w:eastAsia="仿宋_GB2312" w:cs="Times New Roman"/>
                <w:sz w:val="28"/>
                <w:szCs w:val="28"/>
                <w:lang w:eastAsia="zh-CN"/>
              </w:rPr>
              <w:t>鳜鱼水产品加工</w:t>
            </w:r>
            <w:r>
              <w:rPr>
                <w:rFonts w:hint="default" w:ascii="Times New Roman" w:hAnsi="Times New Roman" w:cs="Times New Roman"/>
                <w:sz w:val="28"/>
                <w:szCs w:val="28"/>
                <w:lang w:val="en-US" w:eastAsia="zh-CN"/>
              </w:rPr>
              <w:t>项目、休闲渔业建设、潘集高皇省级现代农业产业园建设项目、潘集区省级农业科技园区建设项目。</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textAlignment w:val="auto"/>
              <w:rPr>
                <w:rFonts w:hint="default" w:ascii="Times New Roman" w:hAnsi="Times New Roman" w:eastAsia="仿宋_GB2312" w:cs="Times New Roman"/>
                <w:sz w:val="28"/>
                <w:szCs w:val="28"/>
                <w:lang w:val="en-US" w:eastAsia="zh-CN"/>
              </w:rPr>
            </w:pPr>
            <w:r>
              <w:rPr>
                <w:rFonts w:hint="default" w:ascii="Times New Roman" w:hAnsi="Times New Roman" w:cs="Times New Roman"/>
                <w:b/>
                <w:bCs/>
                <w:sz w:val="28"/>
                <w:szCs w:val="28"/>
                <w:lang w:val="en-US" w:eastAsia="zh-CN"/>
              </w:rPr>
              <w:t>和美</w:t>
            </w:r>
            <w:r>
              <w:rPr>
                <w:rFonts w:hint="default" w:ascii="Times New Roman" w:hAnsi="Times New Roman" w:eastAsia="仿宋_GB2312" w:cs="Times New Roman"/>
                <w:b/>
                <w:bCs/>
                <w:sz w:val="28"/>
                <w:szCs w:val="28"/>
                <w:lang w:val="en-US" w:eastAsia="zh-CN"/>
              </w:rPr>
              <w:t>乡村</w:t>
            </w:r>
            <w:r>
              <w:rPr>
                <w:rFonts w:hint="default" w:ascii="Times New Roman" w:hAnsi="Times New Roman" w:cs="Times New Roman"/>
                <w:b/>
                <w:bCs/>
                <w:sz w:val="28"/>
                <w:szCs w:val="28"/>
                <w:lang w:val="en-US" w:eastAsia="zh-CN"/>
              </w:rPr>
              <w:t>项目</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sz w:val="28"/>
                <w:szCs w:val="28"/>
                <w:lang w:val="en-US" w:eastAsia="zh-CN"/>
              </w:rPr>
              <w:t>2024年架河镇杨集精品示范村项目、2024年古沟回族乡太平精品示范村项目、淮南市潘集区和美乡村建设项目、潘集区和美乡村宜居宜业项目、2025年省级中心村建设项目、2026-2030年省级中心村建设项目、2026-2030年精品示范村建设项目。</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textAlignment w:val="auto"/>
              <w:rPr>
                <w:rFonts w:hint="default" w:ascii="Times New Roman" w:hAnsi="Times New Roman" w:eastAsia="仿宋_GB2312" w:cs="Times New Roman"/>
                <w:b/>
                <w:bCs/>
                <w:kern w:val="2"/>
                <w:sz w:val="28"/>
                <w:szCs w:val="28"/>
                <w:highlight w:val="none"/>
                <w:lang w:val="en-US" w:eastAsia="zh-CN" w:bidi="ar-SA"/>
              </w:rPr>
            </w:pPr>
            <w:r>
              <w:rPr>
                <w:rFonts w:hint="default" w:ascii="Times New Roman" w:hAnsi="Times New Roman" w:cs="Times New Roman"/>
                <w:b/>
                <w:bCs/>
                <w:kern w:val="2"/>
                <w:sz w:val="28"/>
                <w:szCs w:val="28"/>
                <w:lang w:val="en-US" w:eastAsia="zh-CN" w:bidi="ar-SA"/>
              </w:rPr>
              <w:t>农村环境治理项目。</w:t>
            </w:r>
            <w:r>
              <w:rPr>
                <w:rFonts w:hint="default" w:ascii="Times New Roman" w:hAnsi="Times New Roman" w:eastAsia="仿宋_GB2312" w:cs="Times New Roman"/>
                <w:b w:val="0"/>
                <w:bCs w:val="0"/>
                <w:kern w:val="2"/>
                <w:sz w:val="28"/>
                <w:szCs w:val="28"/>
                <w:lang w:val="en-US" w:eastAsia="zh-CN" w:bidi="ar-SA"/>
              </w:rPr>
              <w:t>淮南市潘集区（古沟回族乡、泥河镇、夹沟镇、平圩镇、高皇镇）农村环境整治项目</w:t>
            </w:r>
            <w:r>
              <w:rPr>
                <w:rFonts w:hint="default" w:ascii="Times New Roman" w:hAnsi="Times New Roman" w:cs="Times New Roman"/>
                <w:b w:val="0"/>
                <w:bCs w:val="0"/>
                <w:kern w:val="2"/>
                <w:sz w:val="28"/>
                <w:szCs w:val="28"/>
                <w:lang w:val="en-US" w:eastAsia="zh-CN" w:bidi="ar-SA"/>
              </w:rPr>
              <w:t>、</w:t>
            </w:r>
            <w:r>
              <w:rPr>
                <w:rFonts w:hint="default" w:ascii="Times New Roman" w:hAnsi="Times New Roman" w:eastAsia="仿宋_GB2312" w:cs="Times New Roman"/>
                <w:sz w:val="28"/>
                <w:szCs w:val="28"/>
                <w:highlight w:val="none"/>
                <w:lang w:eastAsia="zh-CN"/>
              </w:rPr>
              <w:t>淮南市潘集区病死畜禽无害化处理项目</w:t>
            </w:r>
            <w:r>
              <w:rPr>
                <w:rFonts w:hint="default" w:ascii="Times New Roman" w:hAnsi="Times New Roman" w:cs="Times New Roman"/>
                <w:b w:val="0"/>
                <w:bCs w:val="0"/>
                <w:kern w:val="2"/>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textAlignment w:val="auto"/>
              <w:rPr>
                <w:rFonts w:hint="default" w:ascii="Times New Roman" w:hAnsi="Times New Roman" w:cs="Times New Roman"/>
                <w:lang w:val="en-US" w:eastAsia="zh-CN"/>
              </w:rPr>
            </w:pPr>
            <w:r>
              <w:rPr>
                <w:rFonts w:hint="default" w:ascii="Times New Roman" w:hAnsi="Times New Roman" w:cs="Times New Roman"/>
                <w:b/>
                <w:bCs/>
                <w:sz w:val="28"/>
                <w:szCs w:val="28"/>
                <w:lang w:val="en-US" w:eastAsia="zh-CN"/>
              </w:rPr>
              <w:t>土地综合治理项目。</w:t>
            </w:r>
            <w:r>
              <w:rPr>
                <w:rFonts w:hint="default" w:ascii="Times New Roman" w:hAnsi="Times New Roman" w:eastAsia="仿宋_GB2312" w:cs="Times New Roman"/>
                <w:sz w:val="28"/>
                <w:szCs w:val="28"/>
                <w:lang w:eastAsia="zh-CN"/>
              </w:rPr>
              <w:t>潘集区全域一体化耕地提质垦种项目、潘集区全域土地治理项目、潘集区补充耕地和恢复耕地项目</w:t>
            </w:r>
            <w:r>
              <w:rPr>
                <w:rFonts w:hint="default" w:ascii="Times New Roman" w:hAnsi="Times New Roman" w:eastAsia="仿宋_GB2312" w:cs="Times New Roman"/>
                <w:sz w:val="28"/>
                <w:szCs w:val="28"/>
              </w:rPr>
              <w:t>。</w:t>
            </w:r>
          </w:p>
        </w:tc>
      </w:tr>
    </w:tbl>
    <w:p>
      <w:pPr>
        <w:bidi w:val="0"/>
        <w:rPr>
          <w:rFonts w:hint="default" w:ascii="Times New Roman" w:hAnsi="Times New Roman" w:cs="Times New Roman"/>
          <w:lang w:val="en-US" w:eastAsia="zh-CN"/>
        </w:rPr>
      </w:pPr>
    </w:p>
    <w:p>
      <w:pPr>
        <w:rPr>
          <w:rFonts w:hint="default" w:ascii="Times New Roman" w:hAnsi="Times New Roman" w:eastAsia="方正小标宋简体" w:cs="Times New Roman"/>
          <w:highlight w:val="yellow"/>
          <w:lang w:val="en-US" w:eastAsia="zh-CN"/>
        </w:rPr>
      </w:pPr>
      <w:r>
        <w:rPr>
          <w:rFonts w:hint="default" w:ascii="Times New Roman" w:hAnsi="Times New Roman" w:eastAsia="方正小标宋简体" w:cs="Times New Roman"/>
          <w:highlight w:val="yellow"/>
          <w:lang w:val="en-US" w:eastAsia="zh-CN"/>
        </w:rPr>
        <w:br w:type="page"/>
      </w:r>
    </w:p>
    <w:p>
      <w:pPr>
        <w:pStyle w:val="2"/>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简体" w:cs="Times New Roman"/>
          <w:color w:val="auto"/>
          <w:highlight w:val="none"/>
          <w:lang w:val="en-US" w:eastAsia="zh-CN"/>
        </w:rPr>
      </w:pPr>
      <w:bookmarkStart w:id="105" w:name="_Toc859"/>
      <w:r>
        <w:rPr>
          <w:rFonts w:hint="default" w:ascii="Times New Roman" w:hAnsi="Times New Roman" w:eastAsia="方正小标宋简体" w:cs="Times New Roman"/>
          <w:highlight w:val="none"/>
          <w:lang w:val="en-US" w:eastAsia="zh-CN"/>
        </w:rPr>
        <w:t>第</w:t>
      </w:r>
      <w:r>
        <w:rPr>
          <w:rFonts w:hint="eastAsia" w:eastAsia="方正小标宋简体" w:cs="Times New Roman"/>
          <w:highlight w:val="none"/>
          <w:lang w:val="en-US" w:eastAsia="zh-CN"/>
        </w:rPr>
        <w:t>八</w:t>
      </w:r>
      <w:r>
        <w:rPr>
          <w:rFonts w:hint="default" w:ascii="Times New Roman" w:hAnsi="Times New Roman" w:eastAsia="方正小标宋简体" w:cs="Times New Roman"/>
          <w:highlight w:val="none"/>
          <w:lang w:val="en-US" w:eastAsia="zh-CN"/>
        </w:rPr>
        <w:t xml:space="preserve">章 </w:t>
      </w:r>
      <w:r>
        <w:rPr>
          <w:rFonts w:hint="eastAsia" w:eastAsia="方正小标宋简体" w:cs="Times New Roman"/>
          <w:color w:val="auto"/>
          <w:highlight w:val="none"/>
          <w:lang w:val="en-US" w:eastAsia="zh-CN"/>
        </w:rPr>
        <w:t>彰显资源优势</w:t>
      </w:r>
      <w:r>
        <w:rPr>
          <w:rFonts w:hint="default" w:ascii="Times New Roman" w:hAnsi="Times New Roman" w:eastAsia="方正小标宋简体" w:cs="Times New Roman"/>
          <w:color w:val="auto"/>
          <w:highlight w:val="none"/>
          <w:lang w:val="en-US" w:eastAsia="zh-CN"/>
        </w:rPr>
        <w:t>，推动</w:t>
      </w:r>
      <w:r>
        <w:rPr>
          <w:rFonts w:hint="eastAsia" w:eastAsia="方正小标宋简体" w:cs="Times New Roman"/>
          <w:color w:val="auto"/>
          <w:highlight w:val="none"/>
          <w:lang w:val="en-US" w:eastAsia="zh-CN"/>
        </w:rPr>
        <w:t>文旅融合发展</w:t>
      </w:r>
      <w:r>
        <w:rPr>
          <w:rFonts w:hint="default" w:ascii="Times New Roman" w:hAnsi="Times New Roman" w:eastAsia="方正小标宋简体" w:cs="Times New Roman"/>
          <w:color w:val="auto"/>
          <w:highlight w:val="none"/>
          <w:lang w:val="en-US" w:eastAsia="zh-CN"/>
        </w:rPr>
        <w:t>新跃升</w:t>
      </w:r>
      <w:bookmarkEnd w:id="105"/>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坚持以文塑旅、以旅彰文，统筹水脉、文脉，以地域优秀文化为内核、自然生态景观为底色、文旅深度融合为支撑，着力提升全区旅游业产业化、品质化、现代化水平，建设高品质文化强区。</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06" w:name="_Toc11946"/>
      <w:r>
        <w:rPr>
          <w:rFonts w:hint="default" w:ascii="Times New Roman" w:hAnsi="Times New Roman" w:eastAsia="黑体" w:cs="Times New Roman"/>
          <w:b w:val="0"/>
          <w:bCs/>
          <w:lang w:val="en-US" w:eastAsia="zh-CN"/>
        </w:rPr>
        <w:t>第一节 构建“一区三带九点”发展格局</w:t>
      </w:r>
      <w:bookmarkEnd w:id="106"/>
    </w:p>
    <w:p>
      <w:pPr>
        <w:bidi w:val="0"/>
        <w:rPr>
          <w:rFonts w:hint="default" w:cs="Times New Roman"/>
          <w:lang w:val="en-US" w:eastAsia="zh-CN"/>
        </w:rPr>
      </w:pPr>
      <w:r>
        <w:rPr>
          <w:rFonts w:hint="default" w:cs="Times New Roman"/>
          <w:lang w:val="en-US" w:eastAsia="zh-CN"/>
        </w:rPr>
        <w:t>立足全区旅游资源优势和特点，着力构建“一区三带九点”总体发展格局。</w:t>
      </w:r>
      <w:r>
        <w:rPr>
          <w:rFonts w:hint="default" w:ascii="Times New Roman" w:hAnsi="Times New Roman" w:eastAsia="楷体_GB2312" w:cs="Times New Roman"/>
          <w:b/>
          <w:bCs/>
          <w:lang w:val="en-US" w:eastAsia="zh-CN"/>
        </w:rPr>
        <w:t>打造一个示范片区。</w:t>
      </w:r>
      <w:r>
        <w:rPr>
          <w:rFonts w:hint="default" w:cs="Times New Roman"/>
          <w:lang w:val="en-US" w:eastAsia="zh-CN"/>
        </w:rPr>
        <w:t>对标全省标准，高水平打造以武庙生态园区域为重点的架河镇武庙村和美乡村精品示范村，建设文化旅游示范区，发挥其对全区旅游示范引领和辐射带动作用，构建现代农业以及休闲农业集文化旅游一体的示范片区。</w:t>
      </w:r>
      <w:r>
        <w:rPr>
          <w:rFonts w:hint="default" w:ascii="Times New Roman" w:hAnsi="Times New Roman" w:eastAsia="楷体_GB2312" w:cs="Times New Roman"/>
          <w:b/>
          <w:bCs/>
          <w:lang w:val="en-US" w:eastAsia="zh-CN"/>
        </w:rPr>
        <w:t>建设三大文旅发展带。</w:t>
      </w:r>
      <w:r>
        <w:rPr>
          <w:rFonts w:hint="default" w:cs="Times New Roman"/>
          <w:lang w:val="en-US" w:eastAsia="zh-CN"/>
        </w:rPr>
        <w:t>依托良好的水生态环境、独特的水自然禀赋、悠久的水文化历史，以水脉为经络，做活“水文章”，打造淮河、泥河、茨淮新河文化旅游发展带。依托泥河生态自然风光、民俗文化等资源，开发乡村旅游项目，建设一批特色民宿、农家乐，举办乡村文化旅游节等活动，推动农文旅深度融合；依托淮河文化旅游发展带，大力推进淮河湾文化产业园、淮河湾飞行营地建设；依托茨淮新河串联河湾湿地、防护林带等生态节点，设置观景台、休憩驿站和生态解说牌，开发“茨淮新河生态徒步游”“河岸骑行专线”等基础观光产品，同步实施河道生态修复工程以及低空项目建设。</w:t>
      </w:r>
      <w:r>
        <w:rPr>
          <w:rFonts w:hint="default" w:ascii="Times New Roman" w:hAnsi="Times New Roman" w:eastAsia="楷体_GB2312" w:cs="Times New Roman"/>
          <w:b/>
          <w:bCs/>
          <w:lang w:val="en-US" w:eastAsia="zh-CN"/>
        </w:rPr>
        <w:t>培育九大节点群。</w:t>
      </w:r>
      <w:r>
        <w:rPr>
          <w:rFonts w:hint="default" w:cs="Times New Roman"/>
          <w:lang w:val="en-US" w:eastAsia="zh-CN"/>
        </w:rPr>
        <w:t>聚焦田园风光、生态自然、乡村休闲、红色旅游等地方特色旅游资源，重点打造创大生态园、后湖生态园、凤台县抗日民主政府纪念园、红旗路商业步行街、泥河漫水桥生态观光廊、祁集特色豆腐文化街、芦集城北村草莓酥瓜采摘园、龚集知青点-卢家沟湿地、小孙岗考古遗址公园-青年闸芦苇荡露营地等九大旅游节点群，形成点上有风韵、线上有风光、面上有风景。</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07" w:name="_Toc25291"/>
      <w:r>
        <w:rPr>
          <w:rFonts w:hint="default" w:ascii="Times New Roman" w:hAnsi="Times New Roman" w:eastAsia="黑体" w:cs="Times New Roman"/>
          <w:b w:val="0"/>
          <w:bCs/>
          <w:lang w:val="en-US" w:eastAsia="zh-CN"/>
        </w:rPr>
        <w:t>第二节 加强文化遗产保护利用</w:t>
      </w:r>
      <w:bookmarkEnd w:id="107"/>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挖掘运用潘集历史文化资源优势，提升历史文化遗产保护和活化利用水平，推动中华优秀传统文化创造性转化、创新性发展</w:t>
      </w:r>
      <w:r>
        <w:rPr>
          <w:rFonts w:hint="eastAsia" w:cs="Times New Roman"/>
          <w:lang w:val="en-US" w:eastAsia="zh-CN"/>
        </w:rPr>
        <w:t>，探索非遗与旅游、乡村振兴等融合发展路径</w:t>
      </w:r>
      <w:r>
        <w:rPr>
          <w:rFonts w:hint="eastAsia" w:cs="Times New Roman"/>
          <w:highlight w:val="none"/>
          <w:lang w:val="en-US" w:eastAsia="zh-CN"/>
        </w:rPr>
        <w:t>。</w:t>
      </w:r>
      <w:r>
        <w:rPr>
          <w:rFonts w:hint="default" w:ascii="Times New Roman" w:hAnsi="Times New Roman" w:cs="Times New Roman"/>
          <w:highlight w:val="none"/>
          <w:lang w:val="en-US" w:eastAsia="zh-CN"/>
        </w:rPr>
        <w:t>推进高皇</w:t>
      </w:r>
      <w:r>
        <w:rPr>
          <w:rFonts w:hint="default" w:ascii="Times New Roman" w:hAnsi="Times New Roman" w:cs="Times New Roman"/>
          <w:lang w:val="en-US" w:eastAsia="zh-CN"/>
        </w:rPr>
        <w:t>镇小孙岗古遗址文化资源发掘，规划建设小孙岗考古遗址公园，提升区非遗馆知名度和影响力。建立健全革命文物资源数据库，实施革命文物保护利用工程，持续开展非遗普查工作，完善非遗代表性项目和传承人名录体系。加强文艺精品创作生产，实施文艺精品质量提升行动，将“古沟泥老虎”“走马灯”等手工艺品塑造成为网红文创产品</w:t>
      </w:r>
      <w:r>
        <w:rPr>
          <w:rFonts w:hint="eastAsia" w:cs="Times New Roman"/>
          <w:lang w:val="en-US" w:eastAsia="zh-CN"/>
        </w:rPr>
        <w:t>。</w:t>
      </w:r>
      <w:r>
        <w:rPr>
          <w:rFonts w:hint="default" w:ascii="Times New Roman" w:hAnsi="Times New Roman" w:cs="Times New Roman"/>
          <w:lang w:val="en-US" w:eastAsia="zh-CN"/>
        </w:rPr>
        <w:t>加强凤台县抗日民主政府纪念园、凤台县抗日民主政府二区区政府旧址、太平清真寺等保护与提升</w:t>
      </w:r>
      <w:r>
        <w:rPr>
          <w:rFonts w:hint="eastAsia" w:cs="Times New Roman"/>
          <w:lang w:val="en-US" w:eastAsia="zh-CN"/>
        </w:rPr>
        <w:t>，打造潘集红色文化研学线路、旅游路线</w:t>
      </w:r>
      <w:r>
        <w:rPr>
          <w:rFonts w:hint="default" w:ascii="Times New Roman" w:hAnsi="Times New Roman" w:cs="Times New Roman"/>
          <w:lang w:val="en-US" w:eastAsia="zh-CN"/>
        </w:rPr>
        <w:t>。推动非物质文化遗产活态传承</w:t>
      </w:r>
      <w:r>
        <w:rPr>
          <w:rFonts w:hint="default" w:cs="Times New Roman"/>
          <w:lang w:val="en-US" w:eastAsia="zh-CN"/>
        </w:rPr>
        <w:t>，</w:t>
      </w:r>
      <w:r>
        <w:rPr>
          <w:rFonts w:hint="default" w:ascii="Times New Roman" w:hAnsi="Times New Roman" w:cs="Times New Roman"/>
          <w:lang w:val="en-US" w:eastAsia="zh-CN"/>
        </w:rPr>
        <w:t>探索非遗与旅游、乡村振兴等融合发展路径，增强文化遗产传播宣传力度。依托武庙生态园旅游开发，集聚区内非遗项目建设非物质文化遗产一条街。</w:t>
      </w:r>
      <w:r>
        <w:rPr>
          <w:rFonts w:hint="default" w:cs="Times New Roman"/>
          <w:lang w:val="en-US" w:eastAsia="zh-CN"/>
        </w:rPr>
        <w:t>力争“十五五”时期</w:t>
      </w:r>
      <w:r>
        <w:rPr>
          <w:rFonts w:hint="default" w:ascii="Times New Roman" w:hAnsi="Times New Roman" w:cs="Times New Roman"/>
          <w:lang w:val="en-US" w:eastAsia="zh-CN"/>
        </w:rPr>
        <w:t>在省级以上重点文物保护单位数量、非遗代表性项目和传承人数量取得新的突破。</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08" w:name="_Toc26287"/>
      <w:r>
        <w:rPr>
          <w:rFonts w:hint="default" w:ascii="Times New Roman" w:hAnsi="Times New Roman" w:eastAsia="黑体" w:cs="Times New Roman"/>
          <w:b w:val="0"/>
          <w:bCs/>
          <w:lang w:val="en-US" w:eastAsia="zh-CN"/>
        </w:rPr>
        <w:t>第三节 促进文旅康体多业态融合发展</w:t>
      </w:r>
      <w:bookmarkEnd w:id="108"/>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一、发展农业+文旅</w:t>
      </w:r>
    </w:p>
    <w:p>
      <w:pPr>
        <w:bidi w:val="0"/>
        <w:rPr>
          <w:rFonts w:hint="default" w:ascii="Times New Roman" w:hAnsi="Times New Roman" w:cs="Times New Roman"/>
          <w:lang w:val="en-US" w:eastAsia="zh-CN"/>
        </w:rPr>
      </w:pPr>
      <w:r>
        <w:rPr>
          <w:rFonts w:hint="default" w:cs="Times New Roman"/>
          <w:lang w:val="en-US" w:eastAsia="zh-CN"/>
        </w:rPr>
        <w:t>推进</w:t>
      </w:r>
      <w:r>
        <w:rPr>
          <w:rFonts w:hint="default" w:ascii="Times New Roman" w:hAnsi="Times New Roman" w:cs="Times New Roman"/>
          <w:lang w:val="en-US" w:eastAsia="zh-CN"/>
        </w:rPr>
        <w:t>农文旅深度融合发展</w:t>
      </w:r>
      <w:r>
        <w:rPr>
          <w:rFonts w:hint="default" w:cs="Times New Roman"/>
          <w:lang w:val="en-US" w:eastAsia="zh-CN"/>
        </w:rPr>
        <w:t>，重点围绕武庙生态园，辐射带动周边杨集村葡萄采摘园、小郢村许家岗生态农业园、王圩村贫谷虾田米种植示范基地、先丰村特色农业种植园、淮河湾特色农产品种植基地等发展，</w:t>
      </w:r>
      <w:r>
        <w:rPr>
          <w:rFonts w:hint="default" w:ascii="Times New Roman" w:hAnsi="Times New Roman" w:cs="Times New Roman"/>
          <w:lang w:val="en-US" w:eastAsia="zh-CN"/>
        </w:rPr>
        <w:t>发展稻虾共养、优质粳糯稻种植、果蔬采摘等业态，形成“春赏花、夏垂钓、秋采摘、冬农趣”的四季农旅模式</w:t>
      </w:r>
      <w:r>
        <w:rPr>
          <w:rFonts w:hint="default" w:cs="Times New Roman"/>
          <w:lang w:val="en-US" w:eastAsia="zh-CN"/>
        </w:rPr>
        <w:t>。依托泥河流域生态治理产业融合项目，</w:t>
      </w:r>
      <w:r>
        <w:rPr>
          <w:rFonts w:hint="default" w:ascii="Times New Roman" w:hAnsi="Times New Roman" w:cs="Times New Roman"/>
          <w:highlight w:val="none"/>
          <w:lang w:val="en-US" w:eastAsia="zh-CN"/>
        </w:rPr>
        <w:t>建设农事产学研基地，打</w:t>
      </w:r>
      <w:r>
        <w:rPr>
          <w:rFonts w:hint="default" w:ascii="Times New Roman" w:hAnsi="Times New Roman" w:cs="Times New Roman"/>
          <w:lang w:val="en-US" w:eastAsia="zh-CN"/>
        </w:rPr>
        <w:t>造农事农旅观光休闲全区域</w:t>
      </w:r>
      <w:r>
        <w:rPr>
          <w:rFonts w:hint="default" w:cs="Times New Roman"/>
          <w:lang w:val="en-US" w:eastAsia="zh-CN"/>
        </w:rPr>
        <w:t>。</w:t>
      </w:r>
      <w:r>
        <w:rPr>
          <w:rFonts w:hint="default" w:ascii="Times New Roman" w:hAnsi="Times New Roman" w:cs="Times New Roman"/>
          <w:lang w:val="en-US" w:eastAsia="zh-CN"/>
        </w:rPr>
        <w:t>建设环河堤坝自行车郊游自由赛道、打造水上休闲娱乐运动，积极推进芦家湖公园建设，形成集旅游休闲、农业观光为一体休闲中心。</w:t>
      </w:r>
      <w:r>
        <w:rPr>
          <w:rFonts w:hint="default" w:ascii="Times New Roman" w:hAnsi="Times New Roman" w:cs="Times New Roman"/>
          <w:highlight w:val="none"/>
          <w:lang w:val="en-US" w:eastAsia="zh-CN"/>
        </w:rPr>
        <w:t>充分挖掘节庆资源</w:t>
      </w:r>
      <w:r>
        <w:rPr>
          <w:rFonts w:hint="default" w:ascii="Times New Roman" w:hAnsi="Times New Roman" w:cs="Times New Roman"/>
          <w:lang w:val="en-US" w:eastAsia="zh-CN"/>
        </w:rPr>
        <w:t>打造潘集精品节庆IP</w:t>
      </w:r>
      <w:r>
        <w:rPr>
          <w:rFonts w:hint="default" w:ascii="Times New Roman" w:hAnsi="Times New Roman" w:cs="Times New Roman"/>
          <w:highlight w:val="none"/>
          <w:lang w:val="en-US" w:eastAsia="zh-CN"/>
        </w:rPr>
        <w:t>，</w:t>
      </w:r>
      <w:r>
        <w:rPr>
          <w:rFonts w:hint="default" w:ascii="Times New Roman" w:hAnsi="Times New Roman" w:cs="Times New Roman"/>
          <w:lang w:val="en-US" w:eastAsia="zh-CN"/>
        </w:rPr>
        <w:t>擦亮潘集文化城市名片，打造潘集酥瓜节、夹沟“4·20”农民文体节、祁集文化体育节、架河武庙西瓜节等精品节庆活动</w:t>
      </w:r>
      <w:r>
        <w:rPr>
          <w:rFonts w:hint="default" w:cs="Times New Roman"/>
          <w:lang w:val="en-US" w:eastAsia="zh-CN"/>
        </w:rPr>
        <w:t>，针</w:t>
      </w:r>
      <w:r>
        <w:rPr>
          <w:rFonts w:hint="default" w:ascii="Times New Roman" w:hAnsi="Times New Roman" w:cs="Times New Roman"/>
          <w:lang w:val="en-US" w:eastAsia="zh-CN"/>
        </w:rPr>
        <w:t>对潘集酥瓜节，增设“酥瓜文化论坛”“瓜田研学课堂”，引入亲子采摘竞速赛、酥瓜创意料理大赛等互动项目，配套建设酥瓜主题文创市集</w:t>
      </w:r>
      <w:r>
        <w:rPr>
          <w:rFonts w:hint="default" w:cs="Times New Roman"/>
          <w:lang w:val="en-US" w:eastAsia="zh-CN"/>
        </w:rPr>
        <w:t>；针</w:t>
      </w:r>
      <w:r>
        <w:rPr>
          <w:rFonts w:hint="default" w:ascii="Times New Roman" w:hAnsi="Times New Roman" w:cs="Times New Roman"/>
          <w:lang w:val="en-US" w:eastAsia="zh-CN"/>
        </w:rPr>
        <w:t>对夹沟“4·20”农民文体节，增加民俗展演板块，邀请周边县区非遗传承人展示淮河大鼓、泥老虎制作等技艺，举办“农民运动会+乡村美食节”联动活动。</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二、发展工业+文旅</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依托潘集煤矿、电厂、省级煤化工产业园，开发淮南煤工业旅游产品及周边产品</w:t>
      </w:r>
      <w:r>
        <w:rPr>
          <w:rFonts w:hint="default" w:cs="Times New Roman"/>
          <w:lang w:val="en-US" w:eastAsia="zh-CN"/>
        </w:rPr>
        <w:t>，加快</w:t>
      </w:r>
      <w:r>
        <w:rPr>
          <w:rFonts w:hint="default" w:ascii="Times New Roman" w:hAnsi="Times New Roman" w:cs="Times New Roman"/>
          <w:lang w:val="en-US" w:eastAsia="zh-CN"/>
        </w:rPr>
        <w:t>将潘集老矿井等开发成为具有鲜明潘集特色的工业旅游遗迹</w:t>
      </w:r>
      <w:r>
        <w:rPr>
          <w:rFonts w:hint="eastAsia" w:cs="Times New Roman"/>
          <w:lang w:val="en-US" w:eastAsia="zh-CN"/>
        </w:rPr>
        <w:t>，</w:t>
      </w:r>
      <w:r>
        <w:rPr>
          <w:rFonts w:hint="default" w:cs="Times New Roman"/>
          <w:lang w:val="en-US" w:eastAsia="zh-CN"/>
        </w:rPr>
        <w:t>创新发展工业</w:t>
      </w:r>
      <w:r>
        <w:rPr>
          <w:rFonts w:hint="eastAsia" w:cs="Times New Roman"/>
          <w:lang w:val="en-US" w:eastAsia="zh-CN"/>
        </w:rPr>
        <w:t>文化教育</w:t>
      </w:r>
      <w:r>
        <w:rPr>
          <w:rFonts w:hint="default" w:cs="Times New Roman"/>
          <w:lang w:val="en-US" w:eastAsia="zh-CN"/>
        </w:rPr>
        <w:t>研学</w:t>
      </w:r>
      <w:r>
        <w:rPr>
          <w:rFonts w:hint="eastAsia" w:cs="Times New Roman"/>
          <w:lang w:val="en-US" w:eastAsia="zh-CN"/>
        </w:rPr>
        <w:t>、煤矿井下旅游</w:t>
      </w:r>
      <w:r>
        <w:rPr>
          <w:rFonts w:hint="default" w:cs="Times New Roman"/>
          <w:lang w:val="en-US" w:eastAsia="zh-CN"/>
        </w:rPr>
        <w:t>新业态</w:t>
      </w:r>
      <w:r>
        <w:rPr>
          <w:rFonts w:hint="eastAsia" w:cs="Times New Roman"/>
          <w:lang w:val="en-US" w:eastAsia="zh-CN"/>
        </w:rPr>
        <w:t>，利用VR、多媒体展示等技术利用废弃巷道，设置沉浸式体验区，</w:t>
      </w:r>
      <w:r>
        <w:rPr>
          <w:rFonts w:hint="default" w:cs="Times New Roman"/>
          <w:lang w:val="en-US" w:eastAsia="zh-CN"/>
        </w:rPr>
        <w:t>支持</w:t>
      </w:r>
      <w:r>
        <w:rPr>
          <w:rFonts w:hint="default" w:ascii="Times New Roman" w:hAnsi="Times New Roman" w:cs="Times New Roman"/>
          <w:lang w:val="en-US" w:eastAsia="zh-CN"/>
        </w:rPr>
        <w:t>具有旅游开发价值的潘一矿等工业企业</w:t>
      </w:r>
      <w:r>
        <w:rPr>
          <w:rFonts w:hint="default" w:cs="Times New Roman"/>
          <w:lang w:val="en-US" w:eastAsia="zh-CN"/>
        </w:rPr>
        <w:t>开展</w:t>
      </w:r>
      <w:r>
        <w:rPr>
          <w:rFonts w:hint="default" w:ascii="Times New Roman" w:hAnsi="Times New Roman" w:cs="Times New Roman"/>
          <w:lang w:val="en-US" w:eastAsia="zh-CN"/>
        </w:rPr>
        <w:t>旅游设计，</w:t>
      </w:r>
      <w:r>
        <w:rPr>
          <w:rFonts w:hint="default" w:cs="Times New Roman"/>
          <w:lang w:val="en-US" w:eastAsia="zh-CN"/>
        </w:rPr>
        <w:t>推动</w:t>
      </w:r>
      <w:r>
        <w:rPr>
          <w:rFonts w:hint="default" w:ascii="Times New Roman" w:hAnsi="Times New Roman" w:cs="Times New Roman"/>
          <w:lang w:val="en-US" w:eastAsia="zh-CN"/>
        </w:rPr>
        <w:t>参观廊道与旅游游道有机结合</w:t>
      </w:r>
      <w:r>
        <w:rPr>
          <w:rFonts w:hint="default" w:cs="Times New Roman"/>
          <w:lang w:val="en-US" w:eastAsia="zh-CN"/>
        </w:rPr>
        <w:t>，</w:t>
      </w:r>
      <w:r>
        <w:rPr>
          <w:rFonts w:hint="default" w:ascii="Times New Roman" w:hAnsi="Times New Roman" w:cs="Times New Roman"/>
          <w:lang w:val="en-US" w:eastAsia="zh-CN"/>
        </w:rPr>
        <w:t>园区公共基础设施与旅游接待</w:t>
      </w:r>
      <w:r>
        <w:rPr>
          <w:rFonts w:hint="default" w:cs="Times New Roman"/>
          <w:lang w:val="en-US" w:eastAsia="zh-CN"/>
        </w:rPr>
        <w:t>共建</w:t>
      </w:r>
      <w:r>
        <w:rPr>
          <w:rFonts w:hint="default" w:ascii="Times New Roman" w:hAnsi="Times New Roman" w:cs="Times New Roman"/>
          <w:lang w:val="en-US" w:eastAsia="zh-CN"/>
        </w:rPr>
        <w:t>共用，推动厂区景区化发展</w:t>
      </w:r>
      <w:r>
        <w:rPr>
          <w:rFonts w:hint="eastAsia" w:cs="Times New Roman"/>
          <w:lang w:val="en-US" w:eastAsia="zh-CN"/>
        </w:rPr>
        <w:t>，推进工业“锈”场变文旅“秀”场</w:t>
      </w:r>
      <w:r>
        <w:rPr>
          <w:rFonts w:hint="default" w:ascii="Times New Roman" w:hAnsi="Times New Roman" w:cs="Times New Roman"/>
          <w:lang w:val="en-US" w:eastAsia="zh-CN"/>
        </w:rPr>
        <w:t>。</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三、发展体育+文旅</w:t>
      </w:r>
    </w:p>
    <w:p>
      <w:pPr>
        <w:bidi w:val="0"/>
        <w:rPr>
          <w:rFonts w:hint="default" w:ascii="Times New Roman" w:hAnsi="Times New Roman" w:cs="Times New Roman"/>
          <w:lang w:val="en-US" w:eastAsia="zh-CN"/>
        </w:rPr>
      </w:pPr>
      <w:r>
        <w:rPr>
          <w:rFonts w:hint="eastAsia" w:cs="Times New Roman"/>
          <w:lang w:val="en-US" w:eastAsia="zh-CN"/>
        </w:rPr>
        <w:t>支持户外运动高质量发展，</w:t>
      </w:r>
      <w:r>
        <w:rPr>
          <w:rFonts w:hint="default" w:ascii="Times New Roman" w:hAnsi="Times New Roman" w:cs="Times New Roman"/>
          <w:lang w:val="en-US" w:eastAsia="zh-CN"/>
        </w:rPr>
        <w:t>利用淮河、泥河、茨淮新河等</w:t>
      </w:r>
      <w:r>
        <w:rPr>
          <w:rFonts w:hint="eastAsia" w:cs="Times New Roman"/>
          <w:lang w:val="en-US" w:eastAsia="zh-CN"/>
        </w:rPr>
        <w:t>生态资源</w:t>
      </w:r>
      <w:r>
        <w:rPr>
          <w:rFonts w:hint="default" w:ascii="Times New Roman" w:hAnsi="Times New Roman" w:cs="Times New Roman"/>
          <w:lang w:val="en-US" w:eastAsia="zh-CN"/>
        </w:rPr>
        <w:t>，打造汽车营地、露营地等</w:t>
      </w:r>
      <w:r>
        <w:rPr>
          <w:rFonts w:hint="eastAsia" w:cs="Times New Roman"/>
          <w:lang w:val="en-US" w:eastAsia="zh-CN"/>
        </w:rPr>
        <w:t>，积极</w:t>
      </w:r>
      <w:r>
        <w:rPr>
          <w:rFonts w:hint="default" w:ascii="Times New Roman" w:hAnsi="Times New Roman" w:cs="Times New Roman"/>
          <w:lang w:val="en-US" w:eastAsia="zh-CN"/>
        </w:rPr>
        <w:t>开发运动健身旅游</w:t>
      </w:r>
      <w:r>
        <w:rPr>
          <w:rFonts w:hint="eastAsia" w:cs="Times New Roman"/>
          <w:lang w:val="en-US" w:eastAsia="zh-CN"/>
        </w:rPr>
        <w:t>活动</w:t>
      </w:r>
      <w:r>
        <w:rPr>
          <w:rFonts w:hint="default" w:ascii="Times New Roman" w:hAnsi="Times New Roman" w:cs="Times New Roman"/>
          <w:lang w:val="en-US" w:eastAsia="zh-CN"/>
        </w:rPr>
        <w:t>，创建皖北地区体育旅游精品项目</w:t>
      </w:r>
      <w:r>
        <w:rPr>
          <w:rFonts w:hint="eastAsia" w:cs="Times New Roman"/>
          <w:lang w:val="en-US" w:eastAsia="zh-CN"/>
        </w:rPr>
        <w:t>。支持建设潘集区城市体育公园项目、体育运动公园项目</w:t>
      </w:r>
      <w:r>
        <w:rPr>
          <w:rFonts w:hint="default" w:ascii="Times New Roman" w:hAnsi="Times New Roman" w:cs="Times New Roman"/>
          <w:lang w:val="en-US" w:eastAsia="zh-CN"/>
        </w:rPr>
        <w:t>，推动文体旅融合</w:t>
      </w:r>
      <w:r>
        <w:rPr>
          <w:rFonts w:hint="default" w:cs="Times New Roman"/>
          <w:lang w:val="en-US" w:eastAsia="zh-CN"/>
        </w:rPr>
        <w:t>发展</w:t>
      </w:r>
      <w:r>
        <w:rPr>
          <w:rFonts w:hint="eastAsia" w:cs="Times New Roman"/>
          <w:lang w:val="en-US" w:eastAsia="zh-CN"/>
        </w:rPr>
        <w:t>，打造高质量户外运动目的地。繁荣群众性赛事活动，</w:t>
      </w:r>
      <w:r>
        <w:rPr>
          <w:rFonts w:hint="default" w:cs="Times New Roman"/>
          <w:lang w:val="en-US" w:eastAsia="zh-CN"/>
        </w:rPr>
        <w:t>持续举办</w:t>
      </w:r>
      <w:r>
        <w:rPr>
          <w:rFonts w:hint="default" w:ascii="Times New Roman" w:hAnsi="Times New Roman" w:cs="Times New Roman"/>
          <w:lang w:val="en-US" w:eastAsia="zh-CN"/>
        </w:rPr>
        <w:t>村BA、马拉松赛、自行车赛等体育赛事</w:t>
      </w:r>
      <w:r>
        <w:rPr>
          <w:rFonts w:hint="eastAsia" w:cs="Times New Roman"/>
          <w:lang w:val="en-US" w:eastAsia="zh-CN"/>
        </w:rPr>
        <w:t>，支持</w:t>
      </w:r>
      <w:r>
        <w:rPr>
          <w:rFonts w:hint="default" w:cs="Times New Roman"/>
        </w:rPr>
        <w:t>推动体育赛事活动与非遗民俗、旅游观光、餐饮美食等</w:t>
      </w:r>
      <w:r>
        <w:rPr>
          <w:rFonts w:hint="eastAsia" w:cs="Times New Roman"/>
          <w:lang w:val="en-US" w:eastAsia="zh-CN"/>
        </w:rPr>
        <w:t>潘集特色</w:t>
      </w:r>
      <w:r>
        <w:rPr>
          <w:rFonts w:hint="default" w:cs="Times New Roman"/>
        </w:rPr>
        <w:t>深度融合</w:t>
      </w:r>
      <w:r>
        <w:rPr>
          <w:rFonts w:hint="eastAsia" w:cs="Times New Roman"/>
          <w:lang w:eastAsia="zh-CN"/>
        </w:rPr>
        <w:t>，努力实现“以赛兴文、以赛促旅”</w:t>
      </w:r>
      <w:r>
        <w:rPr>
          <w:rFonts w:hint="default" w:cs="Times New Roman"/>
        </w:rPr>
        <w:t>。</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四、发展低空+文旅</w:t>
      </w:r>
    </w:p>
    <w:p>
      <w:pPr>
        <w:bidi w:val="0"/>
        <w:rPr>
          <w:rFonts w:hint="default" w:ascii="Times New Roman" w:hAnsi="Times New Roman" w:cs="Times New Roman"/>
          <w:lang w:val="en-US" w:eastAsia="zh-CN"/>
        </w:rPr>
      </w:pPr>
      <w:r>
        <w:rPr>
          <w:rFonts w:hint="eastAsia" w:cs="Times New Roman"/>
          <w:lang w:val="en-US" w:eastAsia="zh-CN"/>
        </w:rPr>
        <w:t>支持低空经济基础设施建设，大力推进潘集区通用机场、淮河湾飞行营地等项目建成。</w:t>
      </w:r>
      <w:r>
        <w:rPr>
          <w:rFonts w:hint="default" w:ascii="Times New Roman" w:hAnsi="Times New Roman" w:cs="Times New Roman"/>
          <w:lang w:val="en-US" w:eastAsia="zh-CN"/>
        </w:rPr>
        <w:t>积极开发“低空+文旅”特色项目，依托淮河、泥河、茨淮新河</w:t>
      </w:r>
      <w:r>
        <w:rPr>
          <w:rFonts w:hint="eastAsia" w:cs="Times New Roman"/>
          <w:lang w:val="en-US" w:eastAsia="zh-CN"/>
        </w:rPr>
        <w:t>等丰富旅游资源，</w:t>
      </w:r>
      <w:r>
        <w:rPr>
          <w:rFonts w:hint="default" w:ascii="Times New Roman" w:hAnsi="Times New Roman" w:cs="Times New Roman"/>
          <w:lang w:val="en-US" w:eastAsia="zh-CN"/>
        </w:rPr>
        <w:t>开发空中游览、航拍摄影、航空表演、私人飞行等低空消费项目</w:t>
      </w:r>
      <w:r>
        <w:rPr>
          <w:rFonts w:hint="eastAsia" w:cs="Times New Roman"/>
          <w:lang w:val="en-US" w:eastAsia="zh-CN"/>
        </w:rPr>
        <w:t>，研究开辟水上低空旅游专线。支持低空经济与农文旅融合发展，通过热气球、动力滑翔机和旋翼机开展空中农业观光，</w:t>
      </w:r>
      <w:r>
        <w:rPr>
          <w:rFonts w:hint="default" w:ascii="Times New Roman" w:hAnsi="Times New Roman" w:cs="Times New Roman"/>
          <w:lang w:val="en-US" w:eastAsia="zh-CN"/>
        </w:rPr>
        <w:t>加强与节庆</w:t>
      </w:r>
      <w:r>
        <w:rPr>
          <w:rFonts w:hint="eastAsia" w:cs="Times New Roman"/>
          <w:lang w:val="en-US" w:eastAsia="zh-CN"/>
        </w:rPr>
        <w:t>旅游</w:t>
      </w:r>
      <w:r>
        <w:rPr>
          <w:rFonts w:hint="default" w:ascii="Times New Roman" w:hAnsi="Times New Roman" w:cs="Times New Roman"/>
          <w:lang w:val="en-US" w:eastAsia="zh-CN"/>
        </w:rPr>
        <w:t>联动，</w:t>
      </w:r>
      <w:r>
        <w:rPr>
          <w:rFonts w:hint="eastAsia" w:cs="Times New Roman"/>
          <w:lang w:val="en-US" w:eastAsia="zh-CN"/>
        </w:rPr>
        <w:t>支持</w:t>
      </w:r>
      <w:r>
        <w:rPr>
          <w:rFonts w:hint="default" w:ascii="Times New Roman" w:hAnsi="Times New Roman" w:cs="Times New Roman"/>
          <w:lang w:val="en-US" w:eastAsia="zh-CN"/>
        </w:rPr>
        <w:t>在潘集酥瓜节、夹沟农民文体节期间推出“低空烟花秀”“热气球灯光夜”等限时活动，通过无人机编队表演呈现酥瓜、贡米等地域文化元素。</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五、发展康养+文旅</w:t>
      </w:r>
    </w:p>
    <w:p>
      <w:pPr>
        <w:bidi w:val="0"/>
        <w:rPr>
          <w:rFonts w:hint="default" w:ascii="Times New Roman" w:hAnsi="Times New Roman" w:cs="Times New Roman"/>
          <w:lang w:val="en-US" w:eastAsia="zh-CN"/>
        </w:rPr>
      </w:pPr>
      <w:r>
        <w:rPr>
          <w:rFonts w:hint="eastAsia" w:cs="Times New Roman"/>
          <w:lang w:val="en-US" w:eastAsia="zh-CN"/>
        </w:rPr>
        <w:t>发展中医药+康养+文旅，</w:t>
      </w:r>
      <w:r>
        <w:rPr>
          <w:rFonts w:hint="default" w:ascii="Times New Roman" w:hAnsi="Times New Roman" w:cs="Times New Roman"/>
          <w:lang w:val="en-US" w:eastAsia="zh-CN"/>
        </w:rPr>
        <w:t>挖掘《淮南子》中医药学术思想和道家养生文化，引导贺疃镇古路岗村开展金丝皇菊、瓜蒌、中药材种植</w:t>
      </w:r>
      <w:r>
        <w:rPr>
          <w:rFonts w:hint="eastAsia" w:cs="Times New Roman"/>
          <w:lang w:val="en-US" w:eastAsia="zh-CN"/>
        </w:rPr>
        <w:t>，开发中医药特色旅游乡村、度假区</w:t>
      </w:r>
      <w:r>
        <w:rPr>
          <w:rFonts w:hint="default" w:ascii="Times New Roman" w:hAnsi="Times New Roman" w:cs="Times New Roman"/>
          <w:lang w:val="en-US" w:eastAsia="zh-CN"/>
        </w:rPr>
        <w:t>。发展</w:t>
      </w:r>
      <w:r>
        <w:rPr>
          <w:rFonts w:hint="eastAsia" w:cs="Times New Roman"/>
          <w:lang w:val="en-US" w:eastAsia="zh-CN"/>
        </w:rPr>
        <w:t>湿地</w:t>
      </w:r>
      <w:r>
        <w:rPr>
          <w:rFonts w:hint="default" w:ascii="Times New Roman" w:hAnsi="Times New Roman" w:cs="Times New Roman"/>
          <w:lang w:val="en-US" w:eastAsia="zh-CN"/>
        </w:rPr>
        <w:t>+康养+文旅</w:t>
      </w:r>
      <w:r>
        <w:rPr>
          <w:rFonts w:hint="eastAsia" w:cs="Times New Roman"/>
          <w:lang w:val="en-US" w:eastAsia="zh-CN"/>
        </w:rPr>
        <w:t>，</w:t>
      </w:r>
      <w:r>
        <w:rPr>
          <w:rFonts w:hint="default" w:ascii="Times New Roman" w:hAnsi="Times New Roman" w:cs="Times New Roman"/>
          <w:lang w:val="en-US" w:eastAsia="zh-CN"/>
        </w:rPr>
        <w:t>推进采煤沉陷区变成生态</w:t>
      </w:r>
      <w:r>
        <w:rPr>
          <w:rFonts w:hint="eastAsia" w:cs="Times New Roman"/>
          <w:lang w:val="en-US" w:eastAsia="zh-CN"/>
        </w:rPr>
        <w:t>康养</w:t>
      </w:r>
      <w:r>
        <w:rPr>
          <w:rFonts w:hint="default" w:ascii="Times New Roman" w:hAnsi="Times New Roman" w:cs="Times New Roman"/>
          <w:lang w:val="en-US" w:eastAsia="zh-CN"/>
        </w:rPr>
        <w:t>旅游地，加快建设采煤沉陷区综合治理（地热资源综合利用）项目，打造集采煤沉陷区湿地生态修复及保护、科研与科普宣传教育、生态复垦、文创体验、精品（温泉）度假、养生养老为一体的国家级湿地公园，</w:t>
      </w:r>
      <w:r>
        <w:rPr>
          <w:rFonts w:hint="default" w:cs="Times New Roman"/>
          <w:lang w:val="en-US" w:eastAsia="zh-CN"/>
        </w:rPr>
        <w:t>推动</w:t>
      </w:r>
      <w:r>
        <w:rPr>
          <w:rFonts w:hint="default" w:ascii="Times New Roman" w:hAnsi="Times New Roman" w:cs="Times New Roman"/>
          <w:lang w:val="en-US" w:eastAsia="zh-CN"/>
        </w:rPr>
        <w:t>建成全国采煤沉陷区综合治理及湿地保护可持续利用研究示范基地。发展</w:t>
      </w:r>
      <w:r>
        <w:rPr>
          <w:rFonts w:hint="eastAsia" w:cs="Times New Roman"/>
          <w:lang w:val="en-US" w:eastAsia="zh-CN"/>
        </w:rPr>
        <w:t>森林</w:t>
      </w:r>
      <w:r>
        <w:rPr>
          <w:rFonts w:hint="default" w:ascii="Times New Roman" w:hAnsi="Times New Roman" w:cs="Times New Roman"/>
          <w:lang w:val="en-US" w:eastAsia="zh-CN"/>
        </w:rPr>
        <w:t>+康养+文旅</w:t>
      </w:r>
      <w:r>
        <w:rPr>
          <w:rFonts w:hint="eastAsia" w:cs="Times New Roman"/>
          <w:lang w:val="en-US" w:eastAsia="zh-CN"/>
        </w:rPr>
        <w:t>，</w:t>
      </w:r>
      <w:r>
        <w:rPr>
          <w:rFonts w:hint="default" w:cs="Times New Roman"/>
          <w:lang w:val="en-US" w:eastAsia="zh-CN"/>
        </w:rPr>
        <w:t>深度</w:t>
      </w:r>
      <w:r>
        <w:rPr>
          <w:rFonts w:hint="default" w:ascii="Times New Roman" w:hAnsi="Times New Roman" w:cs="Times New Roman"/>
          <w:lang w:val="en-US" w:eastAsia="zh-CN"/>
        </w:rPr>
        <w:t>挖掘林地资源优势，立足采煤沉陷区生态修复后的生态园森林为主体，结合水域、湿地、草地等自然景观，</w:t>
      </w:r>
      <w:r>
        <w:rPr>
          <w:rFonts w:hint="eastAsia" w:cs="Times New Roman"/>
          <w:lang w:val="en-US" w:eastAsia="zh-CN"/>
        </w:rPr>
        <w:t>推进</w:t>
      </w:r>
      <w:r>
        <w:rPr>
          <w:rFonts w:hint="default" w:ascii="Times New Roman" w:hAnsi="Times New Roman" w:cs="Times New Roman"/>
          <w:lang w:val="en-US" w:eastAsia="zh-CN"/>
        </w:rPr>
        <w:t>森林抚育</w:t>
      </w:r>
      <w:r>
        <w:rPr>
          <w:rFonts w:hint="eastAsia" w:cs="Times New Roman"/>
          <w:lang w:val="en-US" w:eastAsia="zh-CN"/>
        </w:rPr>
        <w:t>工作</w:t>
      </w:r>
      <w:r>
        <w:rPr>
          <w:rFonts w:hint="default" w:ascii="Times New Roman" w:hAnsi="Times New Roman" w:cs="Times New Roman"/>
          <w:lang w:val="en-US" w:eastAsia="zh-CN"/>
        </w:rPr>
        <w:t>，扩大公众休闲、旅游绿色空间</w:t>
      </w:r>
      <w:r>
        <w:rPr>
          <w:rFonts w:hint="default" w:cs="Times New Roman"/>
          <w:lang w:val="en-US" w:eastAsia="zh-CN"/>
        </w:rPr>
        <w:t>，</w:t>
      </w:r>
      <w:r>
        <w:rPr>
          <w:rFonts w:hint="default" w:ascii="Times New Roman" w:hAnsi="Times New Roman" w:cs="Times New Roman"/>
          <w:lang w:val="en-US" w:eastAsia="zh-CN"/>
        </w:rPr>
        <w:t>发展生态旅游</w:t>
      </w:r>
      <w:r>
        <w:rPr>
          <w:rFonts w:hint="eastAsia" w:cs="Times New Roman"/>
          <w:lang w:val="en-US" w:eastAsia="zh-CN"/>
        </w:rPr>
        <w:t>、森林康养、森林研学等新业态</w:t>
      </w:r>
      <w:r>
        <w:rPr>
          <w:rFonts w:hint="default" w:ascii="Times New Roman" w:hAnsi="Times New Roman" w:cs="Times New Roman"/>
          <w:lang w:val="en-US" w:eastAsia="zh-CN"/>
        </w:rPr>
        <w:t>。</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09" w:name="_Toc29406"/>
      <w:r>
        <w:rPr>
          <w:rFonts w:hint="default" w:ascii="Times New Roman" w:hAnsi="Times New Roman" w:eastAsia="黑体" w:cs="Times New Roman"/>
          <w:b w:val="0"/>
          <w:bCs/>
          <w:lang w:val="en-US" w:eastAsia="zh-CN"/>
        </w:rPr>
        <w:t>第四节 着力提升旅游服务品质</w:t>
      </w:r>
      <w:bookmarkEnd w:id="109"/>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一、完善文旅基础设施配套</w:t>
      </w:r>
    </w:p>
    <w:p>
      <w:pPr>
        <w:bidi w:val="0"/>
        <w:rPr>
          <w:rFonts w:hint="default" w:ascii="Times New Roman" w:hAnsi="Times New Roman" w:cs="Times New Roman"/>
          <w:lang w:val="en-US" w:eastAsia="zh-CN"/>
        </w:rPr>
      </w:pPr>
      <w:r>
        <w:rPr>
          <w:rFonts w:hint="default" w:cs="Times New Roman"/>
          <w:lang w:val="en-US" w:eastAsia="zh-CN"/>
        </w:rPr>
        <w:t>优化</w:t>
      </w:r>
      <w:r>
        <w:rPr>
          <w:rFonts w:hint="default" w:cs="Times New Roman"/>
        </w:rPr>
        <w:t>旅游交通</w:t>
      </w:r>
      <w:r>
        <w:rPr>
          <w:rFonts w:hint="default" w:cs="Times New Roman"/>
          <w:lang w:val="en-US" w:eastAsia="zh-CN"/>
        </w:rPr>
        <w:t>服务，</w:t>
      </w:r>
      <w:r>
        <w:rPr>
          <w:rFonts w:hint="default" w:cs="Times New Roman"/>
        </w:rPr>
        <w:t>围绕区域重点旅游场景，加快公路路线与核心景区、旅游资源有效串联，改造升级县乡道为旅游公路</w:t>
      </w:r>
      <w:r>
        <w:rPr>
          <w:rFonts w:hint="eastAsia" w:ascii="Times New Roman" w:hAnsi="Times New Roman" w:cs="Times New Roman"/>
          <w:lang w:eastAsia="zh-CN"/>
        </w:rPr>
        <w:t>；</w:t>
      </w:r>
      <w:r>
        <w:rPr>
          <w:rFonts w:hint="default" w:cs="Times New Roman"/>
        </w:rPr>
        <w:t>依托淮河、泥河、茨淮新河等精品资源，建设精品旅游风景道</w:t>
      </w:r>
      <w:r>
        <w:rPr>
          <w:rFonts w:hint="eastAsia" w:cs="Times New Roman"/>
          <w:lang w:eastAsia="zh-CN"/>
        </w:rPr>
        <w:t>，</w:t>
      </w:r>
      <w:r>
        <w:rPr>
          <w:rFonts w:hint="default" w:cs="Times New Roman"/>
        </w:rPr>
        <w:t>开发交通旅游产品</w:t>
      </w:r>
      <w:r>
        <w:rPr>
          <w:rFonts w:hint="eastAsia" w:cs="Times New Roman"/>
          <w:lang w:eastAsia="zh-CN"/>
        </w:rPr>
        <w:t>，</w:t>
      </w:r>
      <w:r>
        <w:rPr>
          <w:rFonts w:hint="eastAsia" w:cs="Times New Roman"/>
          <w:lang w:val="en-US" w:eastAsia="zh-CN"/>
        </w:rPr>
        <w:t>支持</w:t>
      </w:r>
      <w:r>
        <w:rPr>
          <w:rFonts w:hint="default" w:cs="Times New Roman"/>
        </w:rPr>
        <w:t>开设旅游接驳公交专线</w:t>
      </w:r>
      <w:r>
        <w:rPr>
          <w:rFonts w:hint="eastAsia" w:ascii="Times New Roman" w:hAnsi="Times New Roman" w:cs="Times New Roman"/>
          <w:lang w:eastAsia="zh-CN"/>
        </w:rPr>
        <w:t>，</w:t>
      </w:r>
      <w:r>
        <w:rPr>
          <w:rFonts w:hint="eastAsia" w:cs="Times New Roman"/>
          <w:lang w:val="en-US" w:eastAsia="zh-CN"/>
        </w:rPr>
        <w:t>推进</w:t>
      </w:r>
      <w:r>
        <w:rPr>
          <w:rFonts w:hint="default" w:cs="Times New Roman"/>
        </w:rPr>
        <w:t>核心旅游区与城区相街接</w:t>
      </w:r>
      <w:r>
        <w:rPr>
          <w:rFonts w:hint="eastAsia" w:cs="Times New Roman"/>
          <w:lang w:eastAsia="zh-CN"/>
        </w:rPr>
        <w:t>，</w:t>
      </w:r>
      <w:r>
        <w:rPr>
          <w:rFonts w:hint="eastAsia" w:cs="Times New Roman"/>
          <w:lang w:val="en-US" w:eastAsia="zh-CN"/>
        </w:rPr>
        <w:t>支持</w:t>
      </w:r>
      <w:r>
        <w:rPr>
          <w:rFonts w:hint="eastAsia" w:cs="Times New Roman"/>
          <w:lang w:eastAsia="zh-CN"/>
        </w:rPr>
        <w:t>运输企业开发特色旅游专线、主题型专线等交旅融合产品，提供随车讲解等配套服务</w:t>
      </w:r>
      <w:r>
        <w:rPr>
          <w:rFonts w:hint="default" w:cs="Times New Roman"/>
          <w:lang w:eastAsia="zh-CN"/>
        </w:rPr>
        <w:t>。</w:t>
      </w:r>
      <w:r>
        <w:rPr>
          <w:rFonts w:hint="eastAsia" w:cs="Times New Roman"/>
          <w:lang w:val="en-US" w:eastAsia="zh-CN"/>
        </w:rPr>
        <w:t>提升旅游住宿品质</w:t>
      </w:r>
      <w:r>
        <w:rPr>
          <w:rFonts w:hint="default" w:cs="Times New Roman"/>
          <w:lang w:val="en-US" w:eastAsia="zh-CN"/>
        </w:rPr>
        <w:t>，结合乡村古院落、古树、古井、古道等保护利用，弘扬传承古镇（村）文化、民俗文化、农业文化、水利文化和红色文化，提升打造</w:t>
      </w:r>
      <w:r>
        <w:rPr>
          <w:rFonts w:hint="eastAsia" w:cs="Times New Roman"/>
          <w:lang w:val="en-US" w:eastAsia="zh-CN"/>
        </w:rPr>
        <w:t>一批</w:t>
      </w:r>
      <w:r>
        <w:rPr>
          <w:rFonts w:hint="default" w:cs="Times New Roman"/>
          <w:lang w:val="en-US" w:eastAsia="zh-CN"/>
        </w:rPr>
        <w:t>特色农家小院</w:t>
      </w:r>
      <w:r>
        <w:rPr>
          <w:rFonts w:hint="eastAsia" w:cs="Times New Roman"/>
          <w:lang w:val="en-US" w:eastAsia="zh-CN"/>
        </w:rPr>
        <w:t>，</w:t>
      </w:r>
      <w:r>
        <w:rPr>
          <w:rFonts w:hint="default" w:ascii="Times New Roman" w:hAnsi="Times New Roman" w:cs="Times New Roman"/>
          <w:lang w:val="en-US" w:eastAsia="zh-CN"/>
        </w:rPr>
        <w:t>结合</w:t>
      </w:r>
      <w:r>
        <w:rPr>
          <w:rFonts w:hint="eastAsia" w:ascii="Times New Roman" w:hAnsi="Times New Roman" w:cs="Times New Roman"/>
          <w:lang w:val="en-US" w:eastAsia="zh-CN"/>
        </w:rPr>
        <w:t>潘集</w:t>
      </w:r>
      <w:r>
        <w:rPr>
          <w:rFonts w:hint="default" w:cs="Times New Roman"/>
        </w:rPr>
        <w:t>酥瓜</w:t>
      </w:r>
      <w:r>
        <w:rPr>
          <w:rFonts w:hint="eastAsia" w:cs="Times New Roman"/>
          <w:lang w:eastAsia="zh-CN"/>
        </w:rPr>
        <w:t>、</w:t>
      </w:r>
      <w:r>
        <w:rPr>
          <w:rFonts w:hint="eastAsia" w:ascii="Times New Roman" w:hAnsi="Times New Roman" w:cs="Times New Roman"/>
          <w:lang w:val="en-US" w:eastAsia="zh-CN"/>
        </w:rPr>
        <w:t>牛肉汤等</w:t>
      </w:r>
      <w:r>
        <w:rPr>
          <w:rFonts w:hint="default" w:ascii="Times New Roman" w:hAnsi="Times New Roman" w:cs="Times New Roman"/>
          <w:lang w:val="en-US" w:eastAsia="zh-CN"/>
        </w:rPr>
        <w:t>本地特色农产品及美食，</w:t>
      </w:r>
      <w:r>
        <w:rPr>
          <w:rFonts w:hint="eastAsia" w:cs="Times New Roman"/>
          <w:lang w:val="en-US" w:eastAsia="zh-CN"/>
        </w:rPr>
        <w:t>配套</w:t>
      </w:r>
      <w:r>
        <w:rPr>
          <w:rFonts w:hint="default" w:ascii="Times New Roman" w:hAnsi="Times New Roman" w:cs="Times New Roman"/>
          <w:lang w:val="en-US" w:eastAsia="zh-CN"/>
        </w:rPr>
        <w:t>开发农家、林家、私家等不同主题餐饮系列。</w:t>
      </w:r>
      <w:r>
        <w:rPr>
          <w:rFonts w:hint="default" w:cs="Times New Roman"/>
        </w:rPr>
        <w:t>加强</w:t>
      </w:r>
      <w:r>
        <w:rPr>
          <w:rFonts w:hint="eastAsia" w:ascii="Times New Roman" w:hAnsi="Times New Roman" w:cs="Times New Roman"/>
          <w:lang w:val="en-US" w:eastAsia="zh-CN"/>
        </w:rPr>
        <w:t>旅游景区</w:t>
      </w:r>
      <w:r>
        <w:rPr>
          <w:rFonts w:hint="default" w:cs="Times New Roman"/>
        </w:rPr>
        <w:t>停车场、充电桩、休憩驿站等配套设施建设</w:t>
      </w:r>
      <w:r>
        <w:rPr>
          <w:rFonts w:hint="eastAsia" w:ascii="Times New Roman" w:hAnsi="Times New Roman" w:cs="Times New Roman"/>
          <w:lang w:eastAsia="zh-CN"/>
        </w:rPr>
        <w:t>，</w:t>
      </w:r>
      <w:r>
        <w:rPr>
          <w:rFonts w:hint="default" w:cs="Times New Roman"/>
        </w:rPr>
        <w:t>加快</w:t>
      </w:r>
      <w:r>
        <w:rPr>
          <w:rFonts w:hint="eastAsia" w:ascii="Times New Roman" w:hAnsi="Times New Roman" w:cs="Times New Roman"/>
          <w:lang w:val="en-US" w:eastAsia="zh-CN"/>
        </w:rPr>
        <w:t>景点</w:t>
      </w:r>
      <w:r>
        <w:rPr>
          <w:rFonts w:hint="default" w:cs="Times New Roman"/>
        </w:rPr>
        <w:t>适老设施、无障碍设施改造，</w:t>
      </w:r>
      <w:r>
        <w:rPr>
          <w:rFonts w:hint="eastAsia" w:ascii="Times New Roman" w:hAnsi="Times New Roman" w:cs="Times New Roman"/>
          <w:lang w:val="en-US" w:eastAsia="zh-CN"/>
        </w:rPr>
        <w:t>持续</w:t>
      </w:r>
      <w:r>
        <w:rPr>
          <w:rFonts w:hint="default" w:cs="Times New Roman"/>
        </w:rPr>
        <w:t>完善旅游标识体系</w:t>
      </w:r>
      <w:r>
        <w:rPr>
          <w:rFonts w:hint="eastAsia" w:ascii="Times New Roman" w:hAnsi="Times New Roman" w:cs="Times New Roman"/>
          <w:lang w:eastAsia="zh-CN"/>
        </w:rPr>
        <w:t>，</w:t>
      </w:r>
      <w:r>
        <w:rPr>
          <w:rFonts w:hint="default" w:cs="Times New Roman"/>
        </w:rPr>
        <w:t>提升旅游景区、旅游集散地、乡村旅游点、旅游餐馆旅游娱乐场所、休闲步行街区等区域旅游厕所建设和管理标准化水平。</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二、以智慧化</w:t>
      </w:r>
      <w:r>
        <w:rPr>
          <w:rFonts w:hint="default" w:cs="Times New Roman"/>
          <w:lang w:val="en-US" w:eastAsia="zh-CN"/>
        </w:rPr>
        <w:t>赋能</w:t>
      </w:r>
      <w:r>
        <w:rPr>
          <w:rFonts w:hint="default" w:ascii="Times New Roman" w:hAnsi="Times New Roman" w:cs="Times New Roman"/>
          <w:lang w:val="en-US" w:eastAsia="zh-CN"/>
        </w:rPr>
        <w:t>文旅产业</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利用数字技术改造提升传统旅游消费场所，推动人工智能、增强现实等技术的场景开发和推广应用。推动5G技术在典型文旅场景的差异化部署，探索通过AI大模型提供个性化、定制化导游解说服务。推动智慧停车场在重点文旅场地布局。搭建智慧服务体系，整合武庙生态园、创大生态园等景区及周边农家乐、民宿资源，实现“吃住行游购娱”一站式服务。持续完善革命文物资源数据库，深度挖掘历史文化资源，依托革命文物资源数据库，对古沟泥老虎等特色非遗项目进行数字化采集、存储，以高清影像、3D建模等形式全方位展示制作工艺、文化内涵，推动文旅产业向智慧化、数字化迈进。</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三、完善文旅宣传营销配套</w:t>
      </w:r>
    </w:p>
    <w:p>
      <w:pPr>
        <w:bidi w:val="0"/>
        <w:rPr>
          <w:rFonts w:hint="default" w:ascii="Times New Roman" w:hAnsi="Times New Roman" w:cs="Times New Roman"/>
          <w:lang w:val="en-US" w:eastAsia="zh-CN"/>
        </w:rPr>
      </w:pPr>
      <w:r>
        <w:rPr>
          <w:rFonts w:hint="eastAsia" w:cs="Times New Roman"/>
          <w:lang w:val="en-US" w:eastAsia="zh-CN"/>
        </w:rPr>
        <w:t>持续开拓客源市场，实</w:t>
      </w:r>
      <w:r>
        <w:rPr>
          <w:rFonts w:hint="default" w:ascii="Times New Roman" w:hAnsi="Times New Roman" w:cs="Times New Roman"/>
          <w:lang w:val="en-US" w:eastAsia="zh-CN"/>
        </w:rPr>
        <w:t>施“迎客入淮”行动，组织开展“走出去、请进来”宣传推介活动</w:t>
      </w:r>
      <w:r>
        <w:rPr>
          <w:rFonts w:hint="eastAsia" w:cs="Times New Roman"/>
          <w:lang w:val="en-US" w:eastAsia="zh-CN"/>
        </w:rPr>
        <w:t>，</w:t>
      </w:r>
      <w:r>
        <w:rPr>
          <w:rFonts w:hint="default" w:ascii="Times New Roman" w:hAnsi="Times New Roman" w:cs="Times New Roman"/>
          <w:lang w:val="en-US" w:eastAsia="zh-CN"/>
        </w:rPr>
        <w:t>积极开发长三角客源市场，加强与长三角头部旅行社合作，引进更多长三角游客。加强与合肥都市圈联动，巩固皖北六市重点客源市场，推动自驾游潘集活动，大力拓展200公里客源地市场</w:t>
      </w:r>
      <w:r>
        <w:rPr>
          <w:rFonts w:hint="eastAsia" w:cs="Times New Roman"/>
          <w:lang w:val="en-US" w:eastAsia="zh-CN"/>
        </w:rPr>
        <w:t>。打造特色营销平台，</w:t>
      </w:r>
      <w:r>
        <w:rPr>
          <w:rFonts w:hint="default" w:ascii="Times New Roman" w:hAnsi="Times New Roman" w:cs="Times New Roman"/>
          <w:lang w:val="en-US" w:eastAsia="zh-CN"/>
        </w:rPr>
        <w:t>在</w:t>
      </w:r>
      <w:r>
        <w:rPr>
          <w:rFonts w:hint="eastAsia" w:cs="Times New Roman"/>
          <w:lang w:val="en-US" w:eastAsia="zh-CN"/>
        </w:rPr>
        <w:t>经开区（北区）</w:t>
      </w:r>
      <w:r>
        <w:rPr>
          <w:rFonts w:hint="default" w:ascii="Times New Roman" w:hAnsi="Times New Roman" w:cs="Times New Roman"/>
          <w:lang w:val="en-US" w:eastAsia="zh-CN"/>
        </w:rPr>
        <w:t>豆制品产业园建设特色农旅产品线上平台</w:t>
      </w:r>
      <w:r>
        <w:rPr>
          <w:rFonts w:hint="eastAsia" w:cs="Times New Roman"/>
          <w:lang w:val="en-US" w:eastAsia="zh-CN"/>
        </w:rPr>
        <w:t>和产业基地，举办文创及旅游商品大赛，开展直播带货，拓展线上线下营销网络。创新营销模式，</w:t>
      </w:r>
      <w:r>
        <w:rPr>
          <w:rFonts w:hint="default" w:ascii="Times New Roman" w:hAnsi="Times New Roman" w:cs="Times New Roman"/>
          <w:lang w:val="en-US" w:eastAsia="zh-CN"/>
        </w:rPr>
        <w:t>加强原创IP营销，引导扶持主题创作与创意植入相结合，借助抖音、快手、哔哩哔哩、微信、微博等新媒体平台</w:t>
      </w:r>
      <w:r>
        <w:rPr>
          <w:rFonts w:hint="eastAsia" w:cs="Times New Roman"/>
          <w:lang w:val="en-US" w:eastAsia="zh-CN"/>
        </w:rPr>
        <w:t>、短视频</w:t>
      </w:r>
      <w:r>
        <w:rPr>
          <w:rFonts w:hint="default" w:ascii="Times New Roman" w:hAnsi="Times New Roman" w:cs="Times New Roman"/>
          <w:lang w:val="en-US" w:eastAsia="zh-CN"/>
        </w:rPr>
        <w:t>打造旅游热点</w:t>
      </w:r>
      <w:r>
        <w:rPr>
          <w:rFonts w:hint="eastAsia" w:cs="Times New Roman"/>
          <w:lang w:val="en-US" w:eastAsia="zh-CN"/>
        </w:rPr>
        <w:t>，</w:t>
      </w:r>
      <w:r>
        <w:rPr>
          <w:rFonts w:hint="default" w:ascii="Times New Roman" w:hAnsi="Times New Roman" w:cs="Times New Roman"/>
          <w:lang w:val="en-US" w:eastAsia="zh-CN"/>
        </w:rPr>
        <w:t>加强消费体验营销，精准策划营销卖点，</w:t>
      </w:r>
      <w:r>
        <w:rPr>
          <w:rFonts w:hint="eastAsia" w:cs="Times New Roman"/>
          <w:lang w:val="en-US" w:eastAsia="zh-CN"/>
        </w:rPr>
        <w:t>通过</w:t>
      </w:r>
      <w:r>
        <w:rPr>
          <w:rFonts w:hint="default" w:ascii="Times New Roman" w:hAnsi="Times New Roman" w:cs="Times New Roman"/>
          <w:lang w:val="en-US" w:eastAsia="zh-CN"/>
        </w:rPr>
        <w:t>邀请网红打卡体验、短视频大赛等方式开展互动式兴趣营销。策划破壁出圈引爆点。</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四、强化文旅相关人才支撑</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围绕文旅</w:t>
      </w:r>
      <w:r>
        <w:rPr>
          <w:rFonts w:hint="eastAsia" w:ascii="Times New Roman" w:hAnsi="Times New Roman" w:cs="Times New Roman"/>
          <w:lang w:val="en-US" w:eastAsia="zh-CN"/>
        </w:rPr>
        <w:t>产业</w:t>
      </w:r>
      <w:r>
        <w:rPr>
          <w:rFonts w:hint="default" w:ascii="Times New Roman" w:hAnsi="Times New Roman" w:cs="Times New Roman"/>
          <w:lang w:val="en-US" w:eastAsia="zh-CN"/>
        </w:rPr>
        <w:t>发展需求，将旅游人才纳入各级人才队伍建设规划，支持各乡镇街道建立旅游人才激励机制，加大高层次、高技能和急需紧缺人才引育力度。创新文旅人才引进方式，拓宽文旅人才引进渠道，提高文旅人才引进质量。建立多层次、多元化的文旅人才培养体系，加强与高校、科研机构的合作，开展产学研联合培养人才，探索“校村共建、企村结对”机制，建立乡村旅游辅导站。</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10" w:name="_Toc23722"/>
      <w:r>
        <w:rPr>
          <w:rFonts w:hint="default" w:ascii="Times New Roman" w:hAnsi="Times New Roman" w:eastAsia="黑体" w:cs="Times New Roman"/>
          <w:b w:val="0"/>
          <w:bCs/>
          <w:lang w:val="en-US" w:eastAsia="zh-CN"/>
        </w:rPr>
        <w:t>第五节 完善现代公共文化服务体系</w:t>
      </w:r>
      <w:bookmarkEnd w:id="110"/>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一、完善公共文化服务设施</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统筹推进基本公共文化服务标准化、均等化，让文化发展成果更多更公平惠及人民群众，建设高质量公共文化服务体系，实现区乡村</w:t>
      </w:r>
      <w:r>
        <w:rPr>
          <w:rFonts w:hint="eastAsia" w:ascii="Times New Roman" w:hAnsi="Times New Roman" w:cs="Times New Roman"/>
          <w:color w:val="auto"/>
          <w:lang w:val="en-US" w:eastAsia="zh-CN"/>
        </w:rPr>
        <w:t>三</w:t>
      </w:r>
      <w:r>
        <w:rPr>
          <w:rFonts w:hint="default" w:ascii="Times New Roman" w:hAnsi="Times New Roman" w:cs="Times New Roman"/>
          <w:color w:val="auto"/>
          <w:lang w:val="en-US" w:eastAsia="zh-CN"/>
        </w:rPr>
        <w:t>级公共文化设施全覆盖。全力推进公共文化场馆标准化、智慧化提标升级，打造城市书房、公共图书馆、文化馆、乡镇文化站优势互补的公共文化服务网络</w:t>
      </w:r>
      <w:r>
        <w:rPr>
          <w:rFonts w:hint="eastAsia" w:cs="Times New Roman"/>
          <w:color w:val="auto"/>
          <w:lang w:val="en-US" w:eastAsia="zh-CN"/>
        </w:rPr>
        <w:t>，持续完善</w:t>
      </w:r>
      <w:r>
        <w:rPr>
          <w:rFonts w:hint="default" w:ascii="Times New Roman" w:hAnsi="Times New Roman" w:cs="Times New Roman"/>
          <w:color w:val="auto"/>
          <w:lang w:val="en-US" w:eastAsia="zh-CN"/>
        </w:rPr>
        <w:t>“15分钟阅读圈”。</w:t>
      </w:r>
      <w:r>
        <w:rPr>
          <w:rFonts w:hint="eastAsia" w:ascii="Times New Roman" w:hAnsi="Times New Roman" w:cs="Times New Roman"/>
          <w:color w:val="auto"/>
          <w:lang w:val="en-US" w:eastAsia="zh-CN"/>
        </w:rPr>
        <w:t>重点加快</w:t>
      </w:r>
      <w:r>
        <w:rPr>
          <w:rFonts w:hint="default" w:ascii="Times New Roman" w:hAnsi="Times New Roman" w:cs="Times New Roman"/>
          <w:color w:val="auto"/>
          <w:lang w:val="en-US" w:eastAsia="zh-CN"/>
        </w:rPr>
        <w:t>芦家湖体育公园、文化综合楼</w:t>
      </w:r>
      <w:r>
        <w:rPr>
          <w:rFonts w:hint="eastAsia" w:ascii="Times New Roman" w:hAnsi="Times New Roman" w:cs="Times New Roman"/>
          <w:color w:val="auto"/>
          <w:lang w:val="en-US" w:eastAsia="zh-CN"/>
        </w:rPr>
        <w:t>等项目建设</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规划</w:t>
      </w:r>
      <w:r>
        <w:rPr>
          <w:rFonts w:hint="default" w:ascii="Times New Roman" w:hAnsi="Times New Roman" w:cs="Times New Roman"/>
          <w:color w:val="auto"/>
          <w:lang w:val="en-US" w:eastAsia="zh-CN"/>
        </w:rPr>
        <w:t>建设全民健身广场、健身步道等，完善社区体育健身设施</w:t>
      </w:r>
      <w:r>
        <w:rPr>
          <w:rFonts w:hint="eastAsia" w:cs="Times New Roman"/>
          <w:color w:val="auto"/>
          <w:lang w:val="en-US" w:eastAsia="zh-CN"/>
        </w:rPr>
        <w:t>布局，推动在</w:t>
      </w:r>
      <w:r>
        <w:rPr>
          <w:rFonts w:hint="default" w:ascii="Times New Roman" w:hAnsi="Times New Roman" w:cs="Times New Roman"/>
          <w:color w:val="auto"/>
          <w:lang w:val="en-US" w:eastAsia="zh-CN"/>
        </w:rPr>
        <w:t>社区配置体育活动中心。</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二、深化文化惠民工程</w:t>
      </w:r>
    </w:p>
    <w:p>
      <w:pPr>
        <w:rPr>
          <w:rFonts w:hint="default" w:ascii="Times New Roman" w:hAnsi="Times New Roman" w:cs="Times New Roman"/>
          <w:color w:val="auto"/>
          <w:lang w:val="en-US" w:eastAsia="zh-CN"/>
        </w:rPr>
      </w:pPr>
      <w:r>
        <w:rPr>
          <w:rFonts w:hint="eastAsia" w:cs="Times New Roman"/>
          <w:color w:val="auto"/>
          <w:lang w:val="en-US" w:eastAsia="zh-CN"/>
        </w:rPr>
        <w:t>大力弘扬社会主义核心价值观，加快</w:t>
      </w:r>
      <w:r>
        <w:rPr>
          <w:rFonts w:hint="default" w:ascii="Times New Roman" w:hAnsi="Times New Roman" w:cs="Times New Roman"/>
          <w:color w:val="auto"/>
          <w:lang w:val="en-US" w:eastAsia="zh-CN"/>
        </w:rPr>
        <w:t>新时代文明实践所站、农家书屋、老年大学等</w:t>
      </w:r>
      <w:r>
        <w:rPr>
          <w:rFonts w:hint="eastAsia" w:cs="Times New Roman"/>
          <w:color w:val="auto"/>
          <w:lang w:val="en-US" w:eastAsia="zh-CN"/>
        </w:rPr>
        <w:t>建设</w:t>
      </w:r>
      <w:r>
        <w:rPr>
          <w:rFonts w:hint="default" w:ascii="Times New Roman" w:hAnsi="Times New Roman" w:cs="Times New Roman"/>
          <w:color w:val="auto"/>
          <w:lang w:val="en-US" w:eastAsia="zh-CN"/>
        </w:rPr>
        <w:t>，开展群众性文化活动，大力推进移风易俗，广泛开展“文明家庭”“身边好人”等群众性精神文明创建活动。加强文艺精品创作生产</w:t>
      </w:r>
      <w:r>
        <w:rPr>
          <w:rFonts w:hint="eastAsia" w:cs="Times New Roman"/>
          <w:color w:val="auto"/>
          <w:lang w:val="en-US" w:eastAsia="zh-CN"/>
        </w:rPr>
        <w:t>，</w:t>
      </w:r>
      <w:r>
        <w:rPr>
          <w:rFonts w:hint="default" w:ascii="Times New Roman" w:hAnsi="Times New Roman" w:cs="Times New Roman"/>
          <w:color w:val="auto"/>
          <w:lang w:val="en-US" w:eastAsia="zh-CN"/>
        </w:rPr>
        <w:t>实施戏剧振兴三年行动计划</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积极发挥区文联及作协、书协、音协、美协作用，提高文艺创作组织化程度</w:t>
      </w:r>
      <w:r>
        <w:rPr>
          <w:rFonts w:hint="eastAsia" w:cs="Times New Roman"/>
          <w:color w:val="auto"/>
          <w:lang w:val="en-US" w:eastAsia="zh-CN"/>
        </w:rPr>
        <w:t>，</w:t>
      </w:r>
      <w:r>
        <w:rPr>
          <w:rFonts w:hint="default" w:ascii="Times New Roman" w:hAnsi="Times New Roman" w:cs="Times New Roman"/>
          <w:color w:val="auto"/>
          <w:lang w:val="en-US" w:eastAsia="zh-CN"/>
        </w:rPr>
        <w:t>建立重点创作项目跟踪推进机制，打造推剧现代戏《彩礼》等重点作品。增加基层文化服务产品供给</w:t>
      </w:r>
      <w:r>
        <w:rPr>
          <w:rFonts w:hint="eastAsia" w:cs="Times New Roman"/>
          <w:color w:val="auto"/>
          <w:lang w:val="en-US" w:eastAsia="zh-CN"/>
        </w:rPr>
        <w:t>，</w:t>
      </w:r>
      <w:r>
        <w:rPr>
          <w:rFonts w:hint="default" w:ascii="Times New Roman" w:hAnsi="Times New Roman" w:cs="Times New Roman"/>
          <w:color w:val="auto"/>
          <w:lang w:val="en-US" w:eastAsia="zh-CN"/>
        </w:rPr>
        <w:t>统筹开展“送戏进万村”、农村公益电影放映工作等文化活动</w:t>
      </w:r>
      <w:r>
        <w:rPr>
          <w:rFonts w:hint="eastAsia" w:cs="Times New Roman"/>
          <w:color w:val="auto"/>
          <w:lang w:val="en-US" w:eastAsia="zh-CN"/>
        </w:rPr>
        <w:t>，</w:t>
      </w:r>
      <w:r>
        <w:rPr>
          <w:rFonts w:hint="default" w:ascii="Times New Roman" w:hAnsi="Times New Roman" w:cs="Times New Roman"/>
          <w:color w:val="auto"/>
          <w:lang w:val="en-US" w:eastAsia="zh-CN"/>
        </w:rPr>
        <w:t>围绕重大时间节点开展系列文艺演出</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组织优秀文艺作品展演</w:t>
      </w:r>
      <w:r>
        <w:rPr>
          <w:rFonts w:hint="eastAsia" w:cs="Times New Roman"/>
          <w:color w:val="auto"/>
          <w:lang w:val="en-US" w:eastAsia="zh-CN"/>
        </w:rPr>
        <w:t>，</w:t>
      </w:r>
      <w:r>
        <w:rPr>
          <w:rFonts w:hint="default" w:ascii="Times New Roman" w:hAnsi="Times New Roman" w:cs="Times New Roman"/>
          <w:color w:val="auto"/>
          <w:lang w:val="en-US" w:eastAsia="zh-CN"/>
        </w:rPr>
        <w:t>组织开展“四季村晚”、充分调动基层百姓参与文化活动的积极性主动性，打造乡村文化活动品牌。统筹推进基本公共文化服务标准化、均等化</w:t>
      </w:r>
      <w:r>
        <w:rPr>
          <w:rFonts w:hint="eastAsia" w:cs="Times New Roman"/>
          <w:color w:val="auto"/>
          <w:lang w:val="en-US" w:eastAsia="zh-CN"/>
        </w:rPr>
        <w:t>，建设高质量公共文化服务体系，实现市区乡村四级公共文化设施全覆盖。</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pStyle w:val="5"/>
              <w:bidi w:val="0"/>
              <w:rPr>
                <w:rFonts w:hint="default" w:ascii="Times New Roman" w:hAnsi="Times New Roman" w:eastAsia="宋体" w:cs="Times New Roman"/>
                <w:b/>
                <w:bCs/>
                <w:color w:val="auto"/>
                <w:szCs w:val="28"/>
              </w:rPr>
            </w:pPr>
            <w:bookmarkStart w:id="111" w:name="_Toc16455"/>
            <w:r>
              <w:rPr>
                <w:rFonts w:hint="default"/>
              </w:rPr>
              <w:t>专栏</w:t>
            </w:r>
            <w:r>
              <w:rPr>
                <w:rFonts w:hint="eastAsia"/>
                <w:lang w:val="en-US" w:eastAsia="zh-CN"/>
              </w:rPr>
              <w:t xml:space="preserve">8 </w:t>
            </w:r>
            <w:r>
              <w:rPr>
                <w:rFonts w:hint="default"/>
                <w:lang w:val="en-US" w:eastAsia="zh-CN"/>
              </w:rPr>
              <w:t>文旅产业和文化事业</w:t>
            </w:r>
            <w:r>
              <w:rPr>
                <w:rFonts w:hint="default"/>
              </w:rPr>
              <w:t>重点项目</w:t>
            </w:r>
            <w:bookmarkEnd w:id="1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val="0"/>
              <w:snapToGrid w:val="0"/>
              <w:spacing w:after="0" w:line="600" w:lineRule="exact"/>
              <w:ind w:firstLine="562" w:firstLineChars="200"/>
              <w:jc w:val="both"/>
              <w:textAlignment w:val="auto"/>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
                <w:color w:val="auto"/>
                <w:sz w:val="28"/>
                <w:szCs w:val="28"/>
                <w:highlight w:val="none"/>
              </w:rPr>
              <w:t>潘集镇凤台县抗日民主政府纪念园改扩建项目</w:t>
            </w:r>
            <w:r>
              <w:rPr>
                <w:rFonts w:hint="default" w:ascii="Times New Roman" w:hAnsi="Times New Roman" w:cs="Times New Roman"/>
                <w:bCs/>
                <w:color w:val="auto"/>
                <w:sz w:val="28"/>
                <w:szCs w:val="28"/>
                <w:highlight w:val="none"/>
                <w:lang w:eastAsia="zh-CN"/>
              </w:rPr>
              <w:t>。</w:t>
            </w:r>
            <w:r>
              <w:rPr>
                <w:rFonts w:hint="default" w:ascii="Times New Roman" w:hAnsi="Times New Roman" w:eastAsia="仿宋_GB2312" w:cs="Times New Roman"/>
                <w:bCs/>
                <w:color w:val="auto"/>
                <w:sz w:val="28"/>
                <w:szCs w:val="28"/>
                <w:lang w:eastAsia="zh-CN"/>
              </w:rPr>
              <w:t>建设建造烈士墓碑、抗日景观雕塑群、红色研学基地及相关配套</w:t>
            </w:r>
            <w:r>
              <w:rPr>
                <w:rFonts w:hint="default" w:ascii="Times New Roman" w:hAnsi="Times New Roman" w:cs="Times New Roman"/>
                <w:bCs/>
                <w:color w:val="auto"/>
                <w:sz w:val="28"/>
                <w:szCs w:val="28"/>
                <w:lang w:val="en-US" w:eastAsia="zh-CN"/>
              </w:rPr>
              <w:t>设施</w:t>
            </w:r>
            <w:r>
              <w:rPr>
                <w:rFonts w:hint="default" w:ascii="Times New Roman" w:hAnsi="Times New Roman" w:eastAsia="仿宋_GB2312" w:cs="Times New Roman"/>
                <w:bCs/>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after="0" w:line="600" w:lineRule="exact"/>
              <w:ind w:firstLine="562" w:firstLineChars="200"/>
              <w:jc w:val="both"/>
              <w:textAlignment w:val="auto"/>
              <w:rPr>
                <w:rFonts w:hint="default" w:ascii="Times New Roman" w:hAnsi="Times New Roman" w:eastAsia="仿宋_GB2312" w:cs="Times New Roman"/>
                <w:bCs/>
                <w:color w:val="auto"/>
                <w:sz w:val="28"/>
                <w:szCs w:val="28"/>
                <w:lang w:eastAsia="zh-CN"/>
              </w:rPr>
            </w:pPr>
            <w:r>
              <w:rPr>
                <w:rFonts w:hint="default" w:cs="Times New Roman"/>
                <w:b/>
                <w:color w:val="auto"/>
                <w:sz w:val="28"/>
                <w:szCs w:val="28"/>
                <w:highlight w:val="none"/>
                <w:lang w:val="en-US" w:eastAsia="zh-CN"/>
              </w:rPr>
              <w:t>芦</w:t>
            </w:r>
            <w:r>
              <w:rPr>
                <w:rFonts w:hint="default" w:ascii="Times New Roman" w:hAnsi="Times New Roman" w:eastAsia="仿宋_GB2312" w:cs="Times New Roman"/>
                <w:b/>
                <w:color w:val="auto"/>
                <w:sz w:val="28"/>
                <w:szCs w:val="28"/>
                <w:highlight w:val="none"/>
                <w:lang w:eastAsia="zh-CN"/>
              </w:rPr>
              <w:t>家湖湿地公园</w:t>
            </w:r>
            <w:r>
              <w:rPr>
                <w:rFonts w:hint="default" w:ascii="Times New Roman" w:hAnsi="Times New Roman" w:eastAsia="仿宋_GB2312" w:cs="Times New Roman"/>
                <w:b/>
                <w:color w:val="auto"/>
                <w:sz w:val="28"/>
                <w:szCs w:val="28"/>
                <w:highlight w:val="none"/>
                <w:lang w:val="en-US" w:eastAsia="zh-CN"/>
              </w:rPr>
              <w:t>项目</w:t>
            </w:r>
            <w:r>
              <w:rPr>
                <w:rFonts w:hint="default" w:ascii="Times New Roman" w:hAnsi="Times New Roman" w:cs="Times New Roman"/>
                <w:b/>
                <w:color w:val="auto"/>
                <w:sz w:val="28"/>
                <w:szCs w:val="28"/>
                <w:highlight w:val="none"/>
                <w:lang w:val="en-US" w:eastAsia="zh-CN"/>
              </w:rPr>
              <w:t>。</w:t>
            </w:r>
            <w:r>
              <w:rPr>
                <w:rFonts w:hint="default" w:ascii="Times New Roman" w:hAnsi="Times New Roman" w:eastAsia="仿宋_GB2312" w:cs="Times New Roman"/>
                <w:bCs/>
                <w:color w:val="auto"/>
                <w:sz w:val="28"/>
                <w:szCs w:val="28"/>
                <w:lang w:val="en-US" w:eastAsia="zh-CN"/>
              </w:rPr>
              <w:t>共分为生态养殖区</w:t>
            </w:r>
            <w:r>
              <w:rPr>
                <w:rFonts w:hint="default" w:ascii="Times New Roman" w:hAnsi="Times New Roman" w:cs="Times New Roman"/>
                <w:bCs/>
                <w:color w:val="auto"/>
                <w:sz w:val="28"/>
                <w:szCs w:val="28"/>
                <w:lang w:val="en-US" w:eastAsia="zh-CN"/>
              </w:rPr>
              <w:t>、</w:t>
            </w:r>
            <w:r>
              <w:rPr>
                <w:rFonts w:hint="default" w:ascii="Times New Roman" w:hAnsi="Times New Roman" w:eastAsia="仿宋_GB2312" w:cs="Times New Roman"/>
                <w:bCs/>
                <w:color w:val="auto"/>
                <w:sz w:val="28"/>
                <w:szCs w:val="28"/>
                <w:lang w:val="en-US" w:eastAsia="zh-CN"/>
              </w:rPr>
              <w:t>桃花观赏区</w:t>
            </w:r>
            <w:r>
              <w:rPr>
                <w:rFonts w:hint="default" w:ascii="Times New Roman" w:hAnsi="Times New Roman" w:cs="Times New Roman"/>
                <w:bCs/>
                <w:color w:val="auto"/>
                <w:sz w:val="28"/>
                <w:szCs w:val="28"/>
                <w:lang w:val="en-US" w:eastAsia="zh-CN"/>
              </w:rPr>
              <w:t>、</w:t>
            </w:r>
            <w:r>
              <w:rPr>
                <w:rFonts w:hint="default" w:ascii="Times New Roman" w:hAnsi="Times New Roman" w:eastAsia="仿宋_GB2312" w:cs="Times New Roman"/>
                <w:bCs/>
                <w:color w:val="auto"/>
                <w:sz w:val="28"/>
                <w:szCs w:val="28"/>
                <w:lang w:val="en-US" w:eastAsia="zh-CN"/>
              </w:rPr>
              <w:t>生态养老休憩区</w:t>
            </w:r>
            <w:r>
              <w:rPr>
                <w:rFonts w:hint="default" w:ascii="Times New Roman" w:hAnsi="Times New Roman" w:cs="Times New Roman"/>
                <w:bCs/>
                <w:color w:val="auto"/>
                <w:sz w:val="28"/>
                <w:szCs w:val="28"/>
                <w:lang w:val="en-US" w:eastAsia="zh-CN"/>
              </w:rPr>
              <w:t>、休闲娱乐区四大功能区</w:t>
            </w:r>
            <w:r>
              <w:rPr>
                <w:rFonts w:hint="default" w:ascii="Times New Roman" w:hAnsi="Times New Roman" w:eastAsia="仿宋_GB2312" w:cs="Times New Roman"/>
                <w:bCs/>
                <w:color w:val="auto"/>
                <w:sz w:val="28"/>
                <w:szCs w:val="28"/>
                <w:lang w:val="en-US" w:eastAsia="zh-CN"/>
              </w:rPr>
              <w:t>，形成集旅游休闲、农业观光</w:t>
            </w:r>
            <w:r>
              <w:rPr>
                <w:rFonts w:hint="default" w:ascii="Times New Roman" w:hAnsi="Times New Roman" w:cs="Times New Roman"/>
                <w:bCs/>
                <w:color w:val="auto"/>
                <w:sz w:val="28"/>
                <w:szCs w:val="28"/>
                <w:lang w:val="en-US" w:eastAsia="zh-CN"/>
              </w:rPr>
              <w:t>、水上游乐</w:t>
            </w:r>
            <w:r>
              <w:rPr>
                <w:rFonts w:hint="default" w:ascii="Times New Roman" w:hAnsi="Times New Roman" w:eastAsia="仿宋_GB2312" w:cs="Times New Roman"/>
                <w:bCs/>
                <w:color w:val="auto"/>
                <w:sz w:val="28"/>
                <w:szCs w:val="28"/>
                <w:lang w:val="en-US" w:eastAsia="zh-CN"/>
              </w:rPr>
              <w:t>为</w:t>
            </w:r>
            <w:r>
              <w:rPr>
                <w:rFonts w:hint="default" w:ascii="Times New Roman" w:hAnsi="Times New Roman" w:cs="Times New Roman"/>
                <w:bCs/>
                <w:color w:val="auto"/>
                <w:sz w:val="28"/>
                <w:szCs w:val="28"/>
                <w:lang w:val="en-US" w:eastAsia="zh-CN"/>
              </w:rPr>
              <w:t>一体的综合</w:t>
            </w:r>
            <w:r>
              <w:rPr>
                <w:rFonts w:hint="default" w:ascii="Times New Roman" w:hAnsi="Times New Roman" w:eastAsia="仿宋_GB2312" w:cs="Times New Roman"/>
                <w:bCs/>
                <w:color w:val="auto"/>
                <w:sz w:val="28"/>
                <w:szCs w:val="28"/>
                <w:lang w:val="en-US" w:eastAsia="zh-CN"/>
              </w:rPr>
              <w:t>休闲</w:t>
            </w:r>
            <w:r>
              <w:rPr>
                <w:rFonts w:hint="default" w:ascii="Times New Roman" w:hAnsi="Times New Roman" w:cs="Times New Roman"/>
                <w:bCs/>
                <w:color w:val="auto"/>
                <w:sz w:val="28"/>
                <w:szCs w:val="28"/>
                <w:lang w:val="en-US" w:eastAsia="zh-CN"/>
              </w:rPr>
              <w:t>旅游</w:t>
            </w:r>
            <w:r>
              <w:rPr>
                <w:rFonts w:hint="default" w:ascii="Times New Roman" w:hAnsi="Times New Roman" w:eastAsia="仿宋_GB2312" w:cs="Times New Roman"/>
                <w:bCs/>
                <w:color w:val="auto"/>
                <w:sz w:val="28"/>
                <w:szCs w:val="28"/>
                <w:lang w:val="en-US" w:eastAsia="zh-CN"/>
              </w:rPr>
              <w:t>中心。</w:t>
            </w:r>
          </w:p>
          <w:p>
            <w:pPr>
              <w:keepNext w:val="0"/>
              <w:keepLines w:val="0"/>
              <w:pageBreakBefore w:val="0"/>
              <w:widowControl w:val="0"/>
              <w:kinsoku/>
              <w:wordWrap/>
              <w:overflowPunct/>
              <w:topLinePunct w:val="0"/>
              <w:autoSpaceDE/>
              <w:autoSpaceDN/>
              <w:bidi w:val="0"/>
              <w:adjustRightInd w:val="0"/>
              <w:snapToGrid w:val="0"/>
              <w:spacing w:after="0" w:line="600" w:lineRule="exact"/>
              <w:ind w:firstLine="562" w:firstLineChars="200"/>
              <w:jc w:val="both"/>
              <w:textAlignment w:val="auto"/>
              <w:rPr>
                <w:rFonts w:hint="default" w:ascii="Times New Roman" w:hAnsi="Times New Roman" w:eastAsia="仿宋_GB2312" w:cs="Times New Roman"/>
                <w:bCs/>
                <w:color w:val="auto"/>
                <w:sz w:val="28"/>
                <w:szCs w:val="28"/>
                <w:highlight w:val="yellow"/>
                <w:lang w:val="en-US" w:eastAsia="zh-CN"/>
              </w:rPr>
            </w:pPr>
            <w:r>
              <w:rPr>
                <w:rFonts w:hint="default" w:ascii="Times New Roman" w:hAnsi="Times New Roman" w:eastAsia="仿宋_GB2312" w:cs="Times New Roman"/>
                <w:b/>
                <w:color w:val="auto"/>
                <w:sz w:val="28"/>
                <w:szCs w:val="28"/>
                <w:highlight w:val="none"/>
                <w:lang w:eastAsia="zh-CN"/>
              </w:rPr>
              <w:t>淮河湾飞行营地项目</w:t>
            </w:r>
            <w:r>
              <w:rPr>
                <w:rFonts w:hint="default" w:ascii="Times New Roman" w:hAnsi="Times New Roman" w:cs="Times New Roman"/>
                <w:bCs/>
                <w:color w:val="auto"/>
                <w:sz w:val="28"/>
                <w:szCs w:val="28"/>
                <w:highlight w:val="none"/>
                <w:lang w:eastAsia="zh-CN"/>
              </w:rPr>
              <w:t>。</w:t>
            </w:r>
            <w:r>
              <w:rPr>
                <w:rFonts w:hint="default" w:ascii="Times New Roman" w:hAnsi="Times New Roman" w:eastAsia="仿宋_GB2312" w:cs="Times New Roman"/>
                <w:bCs/>
                <w:color w:val="auto"/>
                <w:sz w:val="28"/>
                <w:szCs w:val="28"/>
                <w:lang w:eastAsia="zh-CN"/>
              </w:rPr>
              <w:t>项目位于平圩镇卢家湖北侧，利用原守桥部队营房旧址、老船闸等区域，规划建设包含eVOLT电动垂直起降航空器设备起降场、机库、指挥中心、体育公园等基础设施，打造低空经济产业综合体。</w:t>
            </w:r>
          </w:p>
          <w:p>
            <w:pPr>
              <w:pStyle w:val="5"/>
              <w:keepNext w:val="0"/>
              <w:keepLines w:val="0"/>
              <w:pageBreakBefore w:val="0"/>
              <w:widowControl w:val="0"/>
              <w:kinsoku/>
              <w:wordWrap/>
              <w:overflowPunct/>
              <w:topLinePunct w:val="0"/>
              <w:autoSpaceDE/>
              <w:autoSpaceDN/>
              <w:bidi w:val="0"/>
              <w:spacing w:before="0" w:after="0" w:line="600" w:lineRule="exact"/>
              <w:ind w:firstLine="562" w:firstLineChars="200"/>
              <w:textAlignment w:val="auto"/>
              <w:rPr>
                <w:rFonts w:hint="default" w:ascii="Times New Roman" w:hAnsi="Times New Roman" w:eastAsia="仿宋_GB2312" w:cs="Times New Roman"/>
                <w:b w:val="0"/>
                <w:bCs/>
                <w:color w:val="auto"/>
                <w:kern w:val="2"/>
                <w:sz w:val="28"/>
                <w:szCs w:val="28"/>
                <w:lang w:val="en-US" w:eastAsia="zh-CN" w:bidi="ar-SA"/>
              </w:rPr>
            </w:pPr>
            <w:bookmarkStart w:id="112" w:name="_Toc32344"/>
            <w:r>
              <w:rPr>
                <w:rFonts w:hint="default" w:ascii="Times New Roman" w:hAnsi="Times New Roman" w:eastAsia="仿宋_GB2312" w:cs="Times New Roman"/>
                <w:b/>
                <w:bCs w:val="0"/>
                <w:color w:val="auto"/>
                <w:kern w:val="2"/>
                <w:sz w:val="28"/>
                <w:szCs w:val="28"/>
                <w:highlight w:val="none"/>
                <w:lang w:val="en-US" w:eastAsia="zh-CN" w:bidi="ar-SA"/>
              </w:rPr>
              <w:t>武庙生态园改造提升项目</w:t>
            </w:r>
            <w:r>
              <w:rPr>
                <w:rFonts w:hint="default" w:ascii="Times New Roman" w:hAnsi="Times New Roman" w:eastAsia="仿宋_GB2312" w:cs="Times New Roman"/>
                <w:b w:val="0"/>
                <w:bCs/>
                <w:color w:val="auto"/>
                <w:kern w:val="2"/>
                <w:sz w:val="28"/>
                <w:szCs w:val="28"/>
                <w:highlight w:val="none"/>
                <w:lang w:val="en-US" w:eastAsia="zh-CN" w:bidi="ar-SA"/>
              </w:rPr>
              <w:t>。</w:t>
            </w:r>
            <w:r>
              <w:rPr>
                <w:rFonts w:hint="default" w:ascii="Times New Roman" w:hAnsi="Times New Roman" w:eastAsia="仿宋_GB2312" w:cs="Times New Roman"/>
                <w:b w:val="0"/>
                <w:bCs/>
                <w:color w:val="auto"/>
                <w:kern w:val="2"/>
                <w:sz w:val="28"/>
                <w:szCs w:val="28"/>
                <w:lang w:val="en-US" w:eastAsia="zh-CN" w:bidi="ar-SA"/>
              </w:rPr>
              <w:t>建设为游客服务中心和农游客集散中心项目，产品展示大厅；建设红色教育展览展示和村史馆区域。</w:t>
            </w:r>
            <w:bookmarkEnd w:id="112"/>
          </w:p>
          <w:p>
            <w:pPr>
              <w:keepNext w:val="0"/>
              <w:keepLines w:val="0"/>
              <w:pageBreakBefore w:val="0"/>
              <w:widowControl w:val="0"/>
              <w:kinsoku/>
              <w:wordWrap/>
              <w:overflowPunct/>
              <w:topLinePunct w:val="0"/>
              <w:autoSpaceDE/>
              <w:autoSpaceDN/>
              <w:bidi w:val="0"/>
              <w:adjustRightInd w:val="0"/>
              <w:snapToGrid w:val="0"/>
              <w:spacing w:after="0" w:line="600" w:lineRule="exact"/>
              <w:ind w:firstLine="562" w:firstLineChars="200"/>
              <w:jc w:val="both"/>
              <w:textAlignment w:val="auto"/>
              <w:rPr>
                <w:rFonts w:hint="default" w:ascii="Times New Roman" w:hAnsi="Times New Roman" w:eastAsia="仿宋_GB2312" w:cs="Times New Roman"/>
                <w:b w:val="0"/>
                <w:bCs/>
                <w:color w:val="auto"/>
                <w:kern w:val="2"/>
                <w:sz w:val="28"/>
                <w:szCs w:val="28"/>
                <w:lang w:val="en-US" w:eastAsia="zh-CN" w:bidi="ar-SA"/>
              </w:rPr>
            </w:pPr>
            <w:r>
              <w:rPr>
                <w:rFonts w:hint="default" w:ascii="Times New Roman" w:hAnsi="Times New Roman" w:eastAsia="仿宋_GB2312" w:cs="Times New Roman"/>
                <w:b/>
                <w:bCs/>
                <w:color w:val="auto"/>
                <w:sz w:val="28"/>
                <w:szCs w:val="28"/>
                <w:lang w:val="en-US" w:eastAsia="zh-CN"/>
              </w:rPr>
              <w:t>体育运动公园建设项目</w:t>
            </w:r>
            <w:r>
              <w:rPr>
                <w:rFonts w:hint="default" w:ascii="Times New Roman" w:hAnsi="Times New Roman" w:cs="Times New Roman"/>
                <w:b/>
                <w:bCs/>
                <w:color w:val="auto"/>
                <w:sz w:val="28"/>
                <w:szCs w:val="28"/>
                <w:lang w:val="en-US" w:eastAsia="zh-CN"/>
              </w:rPr>
              <w:t>。</w:t>
            </w:r>
            <w:r>
              <w:rPr>
                <w:rFonts w:hint="default" w:ascii="Times New Roman" w:hAnsi="Times New Roman" w:cs="Times New Roman"/>
                <w:b w:val="0"/>
                <w:bCs w:val="0"/>
                <w:color w:val="auto"/>
                <w:sz w:val="28"/>
                <w:szCs w:val="28"/>
                <w:lang w:val="en-US" w:eastAsia="zh-CN"/>
              </w:rPr>
              <w:t>总建筑面积4540平方米，</w:t>
            </w:r>
            <w:r>
              <w:rPr>
                <w:rFonts w:hint="default" w:ascii="Times New Roman" w:hAnsi="Times New Roman" w:eastAsia="仿宋_GB2312" w:cs="Times New Roman"/>
                <w:b w:val="0"/>
                <w:bCs/>
                <w:color w:val="auto"/>
                <w:kern w:val="2"/>
                <w:sz w:val="28"/>
                <w:szCs w:val="28"/>
                <w:lang w:val="en-US" w:eastAsia="zh-CN" w:bidi="ar-SA"/>
              </w:rPr>
              <w:t>建设运动馆及室外足球场、多功能健身场地等，配套休闲娱乐区、机动车及非机动车停车场和停车位。</w:t>
            </w:r>
          </w:p>
          <w:p>
            <w:pPr>
              <w:keepNext w:val="0"/>
              <w:keepLines w:val="0"/>
              <w:pageBreakBefore w:val="0"/>
              <w:widowControl w:val="0"/>
              <w:kinsoku/>
              <w:wordWrap/>
              <w:overflowPunct/>
              <w:topLinePunct w:val="0"/>
              <w:autoSpaceDE/>
              <w:autoSpaceDN/>
              <w:bidi w:val="0"/>
              <w:adjustRightInd w:val="0"/>
              <w:snapToGrid w:val="0"/>
              <w:spacing w:after="0" w:line="600" w:lineRule="exact"/>
              <w:ind w:firstLine="562" w:firstLineChars="200"/>
              <w:jc w:val="both"/>
              <w:textAlignment w:val="auto"/>
              <w:rPr>
                <w:rFonts w:hint="default" w:ascii="Times New Roman" w:hAnsi="Times New Roman" w:eastAsia="仿宋_GB2312" w:cs="Times New Roman"/>
                <w:b w:val="0"/>
                <w:bCs/>
                <w:color w:val="auto"/>
                <w:kern w:val="2"/>
                <w:sz w:val="28"/>
                <w:szCs w:val="28"/>
                <w:lang w:val="en-US" w:eastAsia="zh-CN" w:bidi="ar-SA"/>
              </w:rPr>
            </w:pPr>
            <w:r>
              <w:rPr>
                <w:rFonts w:hint="default" w:ascii="Times New Roman" w:hAnsi="Times New Roman" w:eastAsia="仿宋_GB2312" w:cs="Times New Roman"/>
                <w:b/>
                <w:bCs/>
                <w:color w:val="auto"/>
                <w:sz w:val="28"/>
                <w:szCs w:val="28"/>
                <w:lang w:val="en-US" w:eastAsia="zh-CN"/>
              </w:rPr>
              <w:t>淮南市潘集区全民健身中心项目</w:t>
            </w:r>
            <w:r>
              <w:rPr>
                <w:rFonts w:hint="default" w:ascii="Times New Roman" w:hAnsi="Times New Roman" w:cs="Times New Roman"/>
                <w:b/>
                <w:bCs/>
                <w:color w:val="auto"/>
                <w:sz w:val="28"/>
                <w:szCs w:val="28"/>
                <w:lang w:val="en-US" w:eastAsia="zh-CN"/>
              </w:rPr>
              <w:t>。</w:t>
            </w:r>
            <w:r>
              <w:rPr>
                <w:rFonts w:hint="default" w:ascii="Times New Roman" w:hAnsi="Times New Roman" w:eastAsia="仿宋_GB2312" w:cs="Times New Roman"/>
                <w:b w:val="0"/>
                <w:bCs/>
                <w:color w:val="auto"/>
                <w:kern w:val="2"/>
                <w:sz w:val="28"/>
                <w:szCs w:val="28"/>
                <w:lang w:val="en-US" w:eastAsia="zh-CN" w:bidi="ar-SA"/>
              </w:rPr>
              <w:t>建设游泳馆、器械健身房、健身操运动馆、篮球馆兼羽毛球场，配套建设新能源停车场、园路及铺装场地、供排水、供电等配套设施工程。</w:t>
            </w:r>
          </w:p>
          <w:p>
            <w:pPr>
              <w:keepNext w:val="0"/>
              <w:keepLines w:val="0"/>
              <w:pageBreakBefore w:val="0"/>
              <w:widowControl w:val="0"/>
              <w:kinsoku/>
              <w:wordWrap/>
              <w:overflowPunct/>
              <w:topLinePunct w:val="0"/>
              <w:autoSpaceDE/>
              <w:autoSpaceDN/>
              <w:bidi w:val="0"/>
              <w:adjustRightInd w:val="0"/>
              <w:snapToGrid w:val="0"/>
              <w:spacing w:after="0" w:line="600" w:lineRule="exact"/>
              <w:ind w:firstLine="562" w:firstLineChars="200"/>
              <w:jc w:val="both"/>
              <w:textAlignment w:val="auto"/>
              <w:rPr>
                <w:rFonts w:hint="default" w:ascii="Times New Roman" w:hAnsi="Times New Roman" w:cs="Times New Roman"/>
                <w:sz w:val="28"/>
                <w:szCs w:val="28"/>
              </w:rPr>
            </w:pPr>
            <w:r>
              <w:rPr>
                <w:rFonts w:hint="default" w:ascii="Times New Roman" w:hAnsi="Times New Roman" w:eastAsia="仿宋_GB2312" w:cs="Times New Roman"/>
                <w:b/>
                <w:bCs/>
                <w:color w:val="auto"/>
                <w:sz w:val="28"/>
                <w:szCs w:val="28"/>
                <w:highlight w:val="none"/>
                <w:lang w:val="en-US" w:eastAsia="zh-CN"/>
              </w:rPr>
              <w:t>淮南市潘集区城市体育公园项目</w:t>
            </w:r>
            <w:r>
              <w:rPr>
                <w:rFonts w:hint="default" w:ascii="Times New Roman" w:hAnsi="Times New Roman" w:cs="Times New Roman"/>
                <w:b/>
                <w:bCs/>
                <w:color w:val="auto"/>
                <w:sz w:val="28"/>
                <w:szCs w:val="28"/>
                <w:highlight w:val="none"/>
                <w:lang w:val="en-US" w:eastAsia="zh-CN"/>
              </w:rPr>
              <w:t>。</w:t>
            </w:r>
            <w:r>
              <w:rPr>
                <w:rFonts w:hint="default" w:ascii="Times New Roman" w:hAnsi="Times New Roman" w:cs="Times New Roman"/>
                <w:b w:val="0"/>
                <w:bCs w:val="0"/>
                <w:color w:val="auto"/>
                <w:sz w:val="28"/>
                <w:szCs w:val="28"/>
                <w:highlight w:val="none"/>
                <w:lang w:val="en-US" w:eastAsia="zh-CN"/>
              </w:rPr>
              <w:t>项目占地面积约10.8万平方米，</w:t>
            </w:r>
            <w:r>
              <w:rPr>
                <w:rFonts w:hint="default" w:ascii="Times New Roman" w:hAnsi="Times New Roman" w:eastAsia="仿宋_GB2312" w:cs="Times New Roman"/>
                <w:b w:val="0"/>
                <w:bCs/>
                <w:color w:val="auto"/>
                <w:kern w:val="2"/>
                <w:sz w:val="28"/>
                <w:szCs w:val="28"/>
                <w:highlight w:val="none"/>
                <w:lang w:val="en-US" w:eastAsia="zh-CN" w:bidi="ar-SA"/>
              </w:rPr>
              <w:t>建设户外足球场</w:t>
            </w:r>
            <w:r>
              <w:rPr>
                <w:rFonts w:hint="default" w:ascii="Times New Roman" w:hAnsi="Times New Roman" w:cs="Times New Roman"/>
                <w:b w:val="0"/>
                <w:bCs/>
                <w:color w:val="auto"/>
                <w:kern w:val="2"/>
                <w:sz w:val="28"/>
                <w:szCs w:val="28"/>
                <w:highlight w:val="none"/>
                <w:lang w:val="en-US" w:eastAsia="zh-CN" w:bidi="ar-SA"/>
              </w:rPr>
              <w:t>、</w:t>
            </w:r>
            <w:r>
              <w:rPr>
                <w:rFonts w:hint="default" w:ascii="Times New Roman" w:hAnsi="Times New Roman" w:eastAsia="仿宋_GB2312" w:cs="Times New Roman"/>
                <w:b w:val="0"/>
                <w:bCs/>
                <w:color w:val="auto"/>
                <w:kern w:val="2"/>
                <w:sz w:val="28"/>
                <w:szCs w:val="28"/>
                <w:highlight w:val="none"/>
                <w:lang w:val="en-US" w:eastAsia="zh-CN" w:bidi="ar-SA"/>
              </w:rPr>
              <w:t>篮球场</w:t>
            </w:r>
            <w:r>
              <w:rPr>
                <w:rFonts w:hint="default" w:ascii="Times New Roman" w:hAnsi="Times New Roman" w:cs="Times New Roman"/>
                <w:b w:val="0"/>
                <w:bCs/>
                <w:color w:val="auto"/>
                <w:kern w:val="2"/>
                <w:sz w:val="28"/>
                <w:szCs w:val="28"/>
                <w:highlight w:val="none"/>
                <w:lang w:val="en-US" w:eastAsia="zh-CN" w:bidi="ar-SA"/>
              </w:rPr>
              <w:t>、</w:t>
            </w:r>
            <w:r>
              <w:rPr>
                <w:rFonts w:hint="default" w:ascii="Times New Roman" w:hAnsi="Times New Roman" w:eastAsia="仿宋_GB2312" w:cs="Times New Roman"/>
                <w:b w:val="0"/>
                <w:bCs/>
                <w:color w:val="auto"/>
                <w:kern w:val="2"/>
                <w:sz w:val="28"/>
                <w:szCs w:val="28"/>
                <w:highlight w:val="none"/>
                <w:lang w:val="en-US" w:eastAsia="zh-CN" w:bidi="ar-SA"/>
              </w:rPr>
              <w:t>健身步道，环湖步道、淮河堤坝步道</w:t>
            </w:r>
            <w:r>
              <w:rPr>
                <w:rFonts w:hint="default" w:ascii="Times New Roman" w:hAnsi="Times New Roman" w:cs="Times New Roman"/>
                <w:b w:val="0"/>
                <w:bCs/>
                <w:color w:val="auto"/>
                <w:kern w:val="2"/>
                <w:sz w:val="28"/>
                <w:szCs w:val="28"/>
                <w:highlight w:val="none"/>
                <w:lang w:val="en-US" w:eastAsia="zh-CN" w:bidi="ar-SA"/>
              </w:rPr>
              <w:t>、</w:t>
            </w:r>
            <w:r>
              <w:rPr>
                <w:rFonts w:hint="default" w:ascii="Times New Roman" w:hAnsi="Times New Roman" w:eastAsia="仿宋_GB2312" w:cs="Times New Roman"/>
                <w:b w:val="0"/>
                <w:bCs/>
                <w:color w:val="auto"/>
                <w:kern w:val="2"/>
                <w:sz w:val="28"/>
                <w:szCs w:val="28"/>
                <w:highlight w:val="none"/>
                <w:lang w:val="en-US" w:eastAsia="zh-CN" w:bidi="ar-SA"/>
              </w:rPr>
              <w:t>户外极限运动区，户外健身广场</w:t>
            </w:r>
            <w:r>
              <w:rPr>
                <w:rFonts w:hint="default" w:ascii="Times New Roman" w:hAnsi="Times New Roman" w:cs="Times New Roman"/>
                <w:b w:val="0"/>
                <w:bCs/>
                <w:color w:val="auto"/>
                <w:kern w:val="2"/>
                <w:sz w:val="28"/>
                <w:szCs w:val="28"/>
                <w:highlight w:val="none"/>
                <w:lang w:val="en-US" w:eastAsia="zh-CN" w:bidi="ar-SA"/>
              </w:rPr>
              <w:t>、</w:t>
            </w:r>
            <w:r>
              <w:rPr>
                <w:rFonts w:hint="default" w:ascii="Times New Roman" w:hAnsi="Times New Roman" w:eastAsia="仿宋_GB2312" w:cs="Times New Roman"/>
                <w:b w:val="0"/>
                <w:bCs/>
                <w:color w:val="auto"/>
                <w:kern w:val="2"/>
                <w:sz w:val="28"/>
                <w:szCs w:val="28"/>
                <w:highlight w:val="none"/>
                <w:lang w:val="en-US" w:eastAsia="zh-CN" w:bidi="ar-SA"/>
              </w:rPr>
              <w:t>户外儿童活动区</w:t>
            </w:r>
            <w:r>
              <w:rPr>
                <w:rFonts w:hint="default" w:ascii="Times New Roman" w:hAnsi="Times New Roman" w:cs="Times New Roman"/>
                <w:b w:val="0"/>
                <w:bCs/>
                <w:color w:val="auto"/>
                <w:kern w:val="2"/>
                <w:sz w:val="28"/>
                <w:szCs w:val="28"/>
                <w:highlight w:val="none"/>
                <w:lang w:val="en-US" w:eastAsia="zh-CN" w:bidi="ar-SA"/>
              </w:rPr>
              <w:t>、</w:t>
            </w:r>
            <w:r>
              <w:rPr>
                <w:rFonts w:hint="default" w:ascii="Times New Roman" w:hAnsi="Times New Roman" w:eastAsia="仿宋_GB2312" w:cs="Times New Roman"/>
                <w:b w:val="0"/>
                <w:bCs/>
                <w:color w:val="auto"/>
                <w:kern w:val="2"/>
                <w:sz w:val="28"/>
                <w:szCs w:val="28"/>
                <w:highlight w:val="none"/>
                <w:lang w:val="en-US" w:eastAsia="zh-CN" w:bidi="ar-SA"/>
              </w:rPr>
              <w:t>绿地及相关配套服务设施等</w:t>
            </w:r>
            <w:r>
              <w:rPr>
                <w:rFonts w:hint="default" w:ascii="Times New Roman" w:hAnsi="Times New Roman" w:cs="Times New Roman"/>
                <w:b w:val="0"/>
                <w:bCs/>
                <w:color w:val="auto"/>
                <w:kern w:val="2"/>
                <w:sz w:val="28"/>
                <w:szCs w:val="28"/>
                <w:highlight w:val="none"/>
                <w:lang w:val="en-US" w:eastAsia="zh-CN" w:bidi="ar-SA"/>
              </w:rPr>
              <w:t>。</w:t>
            </w:r>
          </w:p>
        </w:tc>
      </w:tr>
    </w:tbl>
    <w:p>
      <w:p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br w:type="page"/>
      </w:r>
    </w:p>
    <w:p>
      <w:pPr>
        <w:pStyle w:val="2"/>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简体" w:cs="Times New Roman"/>
          <w:highlight w:val="none"/>
          <w:lang w:val="en-US" w:eastAsia="zh-CN"/>
        </w:rPr>
      </w:pPr>
      <w:bookmarkStart w:id="113" w:name="_Toc12905"/>
      <w:r>
        <w:rPr>
          <w:rFonts w:hint="default" w:ascii="Times New Roman" w:hAnsi="Times New Roman" w:eastAsia="方正小标宋简体" w:cs="Times New Roman"/>
          <w:highlight w:val="none"/>
          <w:lang w:val="en-US" w:eastAsia="zh-CN"/>
        </w:rPr>
        <w:t>第</w:t>
      </w:r>
      <w:r>
        <w:rPr>
          <w:rFonts w:hint="eastAsia" w:eastAsia="方正小标宋简体" w:cs="Times New Roman"/>
          <w:highlight w:val="none"/>
          <w:lang w:val="en-US" w:eastAsia="zh-CN"/>
        </w:rPr>
        <w:t>九</w:t>
      </w:r>
      <w:r>
        <w:rPr>
          <w:rFonts w:hint="default" w:ascii="Times New Roman" w:hAnsi="Times New Roman" w:eastAsia="方正小标宋简体" w:cs="Times New Roman"/>
          <w:highlight w:val="none"/>
          <w:lang w:val="en-US" w:eastAsia="zh-CN"/>
        </w:rPr>
        <w:t>章 全面深化改革开放，释放体制机制新活力</w:t>
      </w:r>
      <w:bookmarkEnd w:id="113"/>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顺应全国统一大市场发展趋势，主动服务和融入新发展格局，持之以恒推进深层次改革和高水平开放，切实把多重叠加的战略机遇转化为高质量发展的优势和成果。</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14" w:name="_Toc32052"/>
      <w:r>
        <w:rPr>
          <w:rFonts w:hint="default" w:ascii="Times New Roman" w:hAnsi="Times New Roman" w:eastAsia="黑体" w:cs="Times New Roman"/>
          <w:b w:val="0"/>
          <w:bCs/>
          <w:lang w:val="en-US" w:eastAsia="zh-CN"/>
        </w:rPr>
        <w:t xml:space="preserve">第一节 </w:t>
      </w:r>
      <w:r>
        <w:rPr>
          <w:rFonts w:hint="default" w:eastAsia="黑体" w:cs="Times New Roman"/>
          <w:b w:val="0"/>
          <w:bCs/>
          <w:lang w:val="en-US" w:eastAsia="zh-CN"/>
        </w:rPr>
        <w:t>坚持高质量走出去</w:t>
      </w:r>
      <w:bookmarkEnd w:id="114"/>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一、全面对接长三角接轨上海</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紧扣“一体化”和“高质量”，主动靠上去、精准接上去、全力融进去，持续深化与无锡市梁溪区、合肥市瑶海区、上海市闵行区吴泾镇战略合作，不断加强与沪苏浙城市在产业分工、科创协同、人才培养等领域交流合作，全力推动产业共引、人才共育、效益共享。围绕主导产业、本地企业发展需求，探索建立与沪苏浙高校院所之间产学研对接机制，鼓励企业吸纳沪苏浙高校院所技术合同，加快科技成果转化和增加技术合同交易数量，力争“十五五”期间实现沪苏浙技术合作项目年均落地5项以上。全力建设更高水平的长三角绿色农产品生产加工供应基地，进一步健全合作机制，发挥自身资源优势，通过市场化运作，推进潘集产品与沪苏浙市场、潘集资源与沪苏浙资本、潘集制造与沪苏浙创造精准对接，推动产业链、供应链、创新链深度对接大沪苏浙，有效提升在长三角一体化发展中的战略位势。</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二、加速融入合肥都市圈</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坚持以合淮同城化为主攻方向，加强与圈内各市对接合作、协同发展，学习借鉴合淮合作区成功经验模式，鼓励本区企业积极与合肥企业、科研机构等合作共建科技成果转化中试基地和产业化基地，加快实现“合肥研发+潘集制造”“合肥总部+潘集基地”的产业互动新格局。加强潘集经济开发区（北区）等园区基础设施建设，完善道路、供水、供电、供气、污水处理等配套设施，持续提升园区承载能力，加快打造成为承接合肥都市圈及长三角地区产业转移的主阵地、主战场。</w:t>
      </w:r>
    </w:p>
    <w:p>
      <w:pPr>
        <w:pStyle w:val="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三、推动外资外贸提质增效</w:t>
      </w:r>
    </w:p>
    <w:p>
      <w:pPr>
        <w:rPr>
          <w:rFonts w:hint="default" w:ascii="Times New Roman" w:hAnsi="Times New Roman" w:cs="Times New Roman"/>
          <w:lang w:val="en-US" w:eastAsia="zh-CN"/>
        </w:rPr>
      </w:pPr>
      <w:r>
        <w:rPr>
          <w:rFonts w:hint="default" w:ascii="Times New Roman" w:hAnsi="Times New Roman" w:cs="Times New Roman"/>
          <w:lang w:val="en-US" w:eastAsia="zh-CN"/>
        </w:rPr>
        <w:t>积极参与“徽动全球”出海行动，加强与共建“一带一路”国家经贸合作，大力开拓RCEP等新兴市场，发挥阳光水面光伏、</w:t>
      </w:r>
      <w:r>
        <w:rPr>
          <w:rFonts w:hint="default" w:cs="Times New Roman"/>
        </w:rPr>
        <w:t>世嘉合利</w:t>
      </w:r>
      <w:r>
        <w:rPr>
          <w:rFonts w:hint="default" w:cs="Times New Roman"/>
          <w:lang w:eastAsia="zh-CN"/>
        </w:rPr>
        <w:t>、</w:t>
      </w:r>
      <w:r>
        <w:rPr>
          <w:rFonts w:hint="default" w:ascii="Times New Roman" w:hAnsi="Times New Roman" w:cs="Times New Roman"/>
          <w:lang w:val="en-US" w:eastAsia="zh-CN"/>
        </w:rPr>
        <w:t>新鸿药业等骨干企业</w:t>
      </w:r>
      <w:r>
        <w:rPr>
          <w:rFonts w:hint="default" w:cs="Times New Roman"/>
          <w:lang w:val="en-US" w:eastAsia="zh-CN"/>
        </w:rPr>
        <w:t>引领带动</w:t>
      </w:r>
      <w:r>
        <w:rPr>
          <w:rFonts w:hint="default" w:ascii="Times New Roman" w:hAnsi="Times New Roman" w:cs="Times New Roman"/>
          <w:lang w:val="en-US" w:eastAsia="zh-CN"/>
        </w:rPr>
        <w:t>作用，</w:t>
      </w:r>
      <w:r>
        <w:rPr>
          <w:rFonts w:hint="default" w:cs="Times New Roman"/>
          <w:lang w:val="en-US" w:eastAsia="zh-CN"/>
        </w:rPr>
        <w:t>全力提升</w:t>
      </w:r>
      <w:r>
        <w:rPr>
          <w:rFonts w:hint="default" w:ascii="Times New Roman" w:hAnsi="Times New Roman" w:cs="Times New Roman"/>
          <w:lang w:val="en-US" w:eastAsia="zh-CN"/>
        </w:rPr>
        <w:t>光伏、</w:t>
      </w:r>
      <w:r>
        <w:rPr>
          <w:rFonts w:hint="default" w:cs="Times New Roman"/>
          <w:lang w:val="en-US" w:eastAsia="zh-CN"/>
        </w:rPr>
        <w:t>储能系统、</w:t>
      </w:r>
      <w:r>
        <w:rPr>
          <w:rFonts w:hint="default" w:ascii="Times New Roman" w:hAnsi="Times New Roman" w:cs="Times New Roman"/>
          <w:lang w:val="en-US" w:eastAsia="zh-CN"/>
        </w:rPr>
        <w:t>叶酸</w:t>
      </w:r>
      <w:r>
        <w:rPr>
          <w:rFonts w:hint="default" w:cs="Times New Roman"/>
          <w:lang w:val="en-US" w:eastAsia="zh-CN"/>
        </w:rPr>
        <w:t>等</w:t>
      </w:r>
      <w:r>
        <w:rPr>
          <w:rFonts w:hint="default" w:ascii="Times New Roman" w:hAnsi="Times New Roman" w:cs="Times New Roman"/>
          <w:lang w:val="en-US" w:eastAsia="zh-CN"/>
        </w:rPr>
        <w:t>优势产品出口竞争力。支持企业参加省级“跨境电商走进产业带”专项对接，鼓励有条件的企业通过自建、合建、租赁等方式拓展在共建“一带一路”等重要市场海外仓布局。推动新能源、化工新材料、绿色食品</w:t>
      </w:r>
      <w:r>
        <w:rPr>
          <w:rFonts w:hint="default" w:cs="Times New Roman"/>
          <w:lang w:val="en-US" w:eastAsia="zh-CN"/>
        </w:rPr>
        <w:t>等</w:t>
      </w:r>
      <w:r>
        <w:rPr>
          <w:rFonts w:hint="default" w:ascii="Times New Roman" w:hAnsi="Times New Roman" w:cs="Times New Roman"/>
          <w:lang w:val="en-US" w:eastAsia="zh-CN"/>
        </w:rPr>
        <w:t>优势产业“抱团出海”，支持博普纳米新材料</w:t>
      </w:r>
      <w:r>
        <w:rPr>
          <w:rFonts w:hint="default" w:cs="Times New Roman"/>
          <w:lang w:val="en-US" w:eastAsia="zh-CN"/>
        </w:rPr>
        <w:t>、舜安食品等</w:t>
      </w:r>
      <w:r>
        <w:rPr>
          <w:rFonts w:hint="default" w:ascii="Times New Roman" w:hAnsi="Times New Roman" w:cs="Times New Roman"/>
          <w:lang w:val="en-US" w:eastAsia="zh-CN"/>
        </w:rPr>
        <w:t>企业通过对外投资合作带动产品、技术、服务、品牌“走出去”。用好世界制造业大会、海客圆桌会等平台，鼓励本地龙头企业积极参加境外国际展会，深化同跨国公司、国际商协会、双边基金等机构合作，拓宽全球招商渠道。</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15" w:name="_Toc26731"/>
      <w:r>
        <w:rPr>
          <w:rFonts w:hint="default" w:ascii="Times New Roman" w:hAnsi="Times New Roman" w:eastAsia="黑体" w:cs="Times New Roman"/>
          <w:b w:val="0"/>
          <w:bCs/>
          <w:lang w:val="en-US" w:eastAsia="zh-CN"/>
        </w:rPr>
        <w:t xml:space="preserve">第二节 </w:t>
      </w:r>
      <w:r>
        <w:rPr>
          <w:rFonts w:hint="default" w:eastAsia="黑体" w:cs="Times New Roman"/>
          <w:b w:val="0"/>
          <w:bCs/>
          <w:lang w:val="en-US" w:eastAsia="zh-CN"/>
        </w:rPr>
        <w:t>推动高水平引进来</w:t>
      </w:r>
      <w:bookmarkEnd w:id="115"/>
    </w:p>
    <w:p>
      <w:pPr>
        <w:pStyle w:val="4"/>
        <w:bidi w:val="0"/>
        <w:rPr>
          <w:rFonts w:hint="default" w:ascii="Times New Roman" w:hAnsi="Times New Roman" w:cs="Times New Roman"/>
        </w:rPr>
      </w:pPr>
      <w:r>
        <w:rPr>
          <w:rFonts w:hint="default" w:ascii="Times New Roman" w:hAnsi="Times New Roman" w:cs="Times New Roman"/>
          <w:lang w:val="en-US" w:eastAsia="zh-CN"/>
        </w:rPr>
        <w:t>一、</w:t>
      </w:r>
      <w:r>
        <w:rPr>
          <w:rFonts w:hint="default" w:cs="Times New Roman"/>
          <w:lang w:val="en-US" w:eastAsia="zh-CN"/>
        </w:rPr>
        <w:t>创新</w:t>
      </w:r>
      <w:r>
        <w:rPr>
          <w:rFonts w:hint="default" w:ascii="Times New Roman" w:hAnsi="Times New Roman" w:cs="Times New Roman"/>
        </w:rPr>
        <w:t>招商引资方式</w:t>
      </w:r>
    </w:p>
    <w:p>
      <w:pPr>
        <w:pageBreakBefore w:val="0"/>
        <w:widowControl w:val="0"/>
        <w:kinsoku/>
        <w:wordWrap/>
        <w:overflowPunct/>
        <w:topLinePunct w:val="0"/>
        <w:autoSpaceDE/>
        <w:autoSpaceDN/>
        <w:bidi w:val="0"/>
        <w:adjustRightInd/>
        <w:spacing w:line="240" w:lineRule="auto"/>
        <w:ind w:left="0" w:leftChars="0" w:firstLine="643"/>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楷体_GB2312" w:cs="Times New Roman"/>
          <w:b/>
          <w:bCs/>
          <w:color w:val="000000" w:themeColor="text1"/>
          <w14:textFill>
            <w14:solidFill>
              <w14:schemeClr w14:val="tx1"/>
            </w14:solidFill>
          </w14:textFill>
        </w:rPr>
        <w:t>深化链式招商</w:t>
      </w:r>
      <w:r>
        <w:rPr>
          <w:rFonts w:hint="default" w:ascii="Times New Roman" w:hAnsi="Times New Roman" w:cs="Times New Roman"/>
          <w:b/>
          <w:bCs/>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聚焦新能源、新材料、高端装备制造、绿色食品、低空经济、生物制造等产业，动态完善产业“双招双引”路线图和产业链图谱，针对链条薄弱环节，面向长三角、珠三角、合肥都市圈等重点区域，摸排梳理目标企业清单，建立常态化对接机制，开展靶向招商，加快引进一批引领性重大项目和链主企业。依托“链主”企业，引进配套企业、上下游企业和生态合作伙伴，培育大中小企业融通发展的产业集群。</w:t>
      </w:r>
    </w:p>
    <w:p>
      <w:pPr>
        <w:pageBreakBefore w:val="0"/>
        <w:widowControl w:val="0"/>
        <w:kinsoku/>
        <w:wordWrap/>
        <w:overflowPunct/>
        <w:topLinePunct w:val="0"/>
        <w:autoSpaceDE/>
        <w:autoSpaceDN/>
        <w:bidi w:val="0"/>
        <w:adjustRightInd/>
        <w:spacing w:line="240" w:lineRule="auto"/>
        <w:ind w:left="0" w:leftChars="0" w:firstLine="643"/>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楷体_GB2312" w:cs="Times New Roman"/>
          <w:b/>
          <w:bCs/>
          <w:color w:val="000000" w:themeColor="text1"/>
          <w14:textFill>
            <w14:solidFill>
              <w14:schemeClr w14:val="tx1"/>
            </w14:solidFill>
          </w14:textFill>
        </w:rPr>
        <w:t>加强场景招商。</w:t>
      </w:r>
      <w:r>
        <w:rPr>
          <w:rFonts w:hint="default" w:ascii="Times New Roman" w:hAnsi="Times New Roman" w:cs="Times New Roman"/>
          <w:color w:val="000000" w:themeColor="text1"/>
          <w:lang w:val="en-US" w:eastAsia="zh-CN"/>
          <w14:textFill>
            <w14:solidFill>
              <w14:schemeClr w14:val="tx1"/>
            </w14:solidFill>
          </w14:textFill>
        </w:rPr>
        <w:t>积极响应上级部署</w:t>
      </w:r>
      <w:r>
        <w:rPr>
          <w:rFonts w:hint="default" w:ascii="Times New Roman" w:hAnsi="Times New Roman" w:cs="Times New Roman"/>
          <w:color w:val="000000" w:themeColor="text1"/>
          <w14:textFill>
            <w14:solidFill>
              <w14:schemeClr w14:val="tx1"/>
            </w14:solidFill>
          </w14:textFill>
        </w:rPr>
        <w:t>征集发布场景机会清单、场景能力清单、标杆案例清单，常态化</w:t>
      </w:r>
      <w:r>
        <w:rPr>
          <w:rFonts w:hint="default" w:ascii="Times New Roman" w:hAnsi="Times New Roman" w:cs="Times New Roman"/>
          <w:color w:val="000000" w:themeColor="text1"/>
          <w:lang w:val="en-US" w:eastAsia="zh-CN"/>
          <w14:textFill>
            <w14:solidFill>
              <w14:schemeClr w14:val="tx1"/>
            </w14:solidFill>
          </w14:textFill>
        </w:rPr>
        <w:t>参与和组织</w:t>
      </w:r>
      <w:r>
        <w:rPr>
          <w:rFonts w:hint="default" w:ascii="Times New Roman" w:hAnsi="Times New Roman" w:cs="Times New Roman"/>
          <w:color w:val="000000" w:themeColor="text1"/>
          <w14:textFill>
            <w14:solidFill>
              <w14:schemeClr w14:val="tx1"/>
            </w14:solidFill>
          </w14:textFill>
        </w:rPr>
        <w:t>路演对接活动，</w:t>
      </w:r>
      <w:r>
        <w:rPr>
          <w:rFonts w:hint="default" w:ascii="Times New Roman" w:hAnsi="Times New Roman" w:cs="Times New Roman"/>
          <w:color w:val="000000" w:themeColor="text1"/>
          <w:lang w:val="en-US" w:eastAsia="zh-CN"/>
          <w14:textFill>
            <w14:solidFill>
              <w14:schemeClr w14:val="tx1"/>
            </w14:solidFill>
          </w14:textFill>
        </w:rPr>
        <w:t>引进</w:t>
      </w:r>
      <w:r>
        <w:rPr>
          <w:rFonts w:hint="default" w:ascii="Times New Roman" w:hAnsi="Times New Roman" w:cs="Times New Roman"/>
          <w:color w:val="000000" w:themeColor="text1"/>
          <w14:textFill>
            <w14:solidFill>
              <w14:schemeClr w14:val="tx1"/>
            </w14:solidFill>
          </w14:textFill>
        </w:rPr>
        <w:t>落地一批重大应用场景创新示范项目。引导行业主管部门、在潘企业开放应用场景，建成各具特色的场景创新示范案例。</w:t>
      </w:r>
    </w:p>
    <w:p>
      <w:pPr>
        <w:pageBreakBefore w:val="0"/>
        <w:widowControl w:val="0"/>
        <w:kinsoku/>
        <w:wordWrap/>
        <w:overflowPunct/>
        <w:topLinePunct w:val="0"/>
        <w:autoSpaceDE/>
        <w:autoSpaceDN/>
        <w:bidi w:val="0"/>
        <w:adjustRightInd/>
        <w:spacing w:line="240" w:lineRule="auto"/>
        <w:ind w:left="0" w:leftChars="0" w:firstLine="643"/>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楷体_GB2312" w:cs="Times New Roman"/>
          <w:b/>
          <w:bCs/>
          <w:color w:val="000000" w:themeColor="text1"/>
          <w14:textFill>
            <w14:solidFill>
              <w14:schemeClr w14:val="tx1"/>
            </w14:solidFill>
          </w14:textFill>
        </w:rPr>
        <w:t>推进专业招商。</w:t>
      </w:r>
      <w:r>
        <w:rPr>
          <w:rFonts w:hint="default" w:ascii="Times New Roman" w:hAnsi="Times New Roman" w:cs="Times New Roman"/>
          <w:color w:val="000000" w:themeColor="text1"/>
          <w14:textFill>
            <w14:solidFill>
              <w14:schemeClr w14:val="tx1"/>
            </w14:solidFill>
          </w14:textFill>
        </w:rPr>
        <w:t>支持深化与专业中介机构、龙头企业合作，引导其推介合作伙伴、供应链企业来潘投资。充分利用各类商协会开展委托招商、代理招商，设立招商顾问，</w:t>
      </w:r>
      <w:r>
        <w:rPr>
          <w:rFonts w:hint="default" w:ascii="Times New Roman" w:hAnsi="Times New Roman" w:cs="Times New Roman"/>
          <w:color w:val="000000" w:themeColor="text1"/>
          <w:highlight w:val="none"/>
          <w14:textFill>
            <w14:solidFill>
              <w14:schemeClr w14:val="tx1"/>
            </w14:solidFill>
          </w14:textFill>
        </w:rPr>
        <w:t>拓展招引渠道。支持设立市场化招商平台公司，组建专业化招商队伍，实施绩效激励。</w:t>
      </w:r>
    </w:p>
    <w:p>
      <w:pPr>
        <w:pageBreakBefore w:val="0"/>
        <w:widowControl w:val="0"/>
        <w:kinsoku/>
        <w:wordWrap/>
        <w:overflowPunct/>
        <w:topLinePunct w:val="0"/>
        <w:autoSpaceDE/>
        <w:autoSpaceDN/>
        <w:bidi w:val="0"/>
        <w:adjustRightInd/>
        <w:spacing w:line="240" w:lineRule="auto"/>
        <w:ind w:left="0" w:leftChars="0" w:firstLine="643"/>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楷体_GB2312" w:cs="Times New Roman"/>
          <w:b/>
          <w:bCs/>
          <w:color w:val="000000" w:themeColor="text1"/>
          <w14:textFill>
            <w14:solidFill>
              <w14:schemeClr w14:val="tx1"/>
            </w14:solidFill>
          </w14:textFill>
        </w:rPr>
        <w:t>开展并购招商。</w:t>
      </w:r>
      <w:r>
        <w:rPr>
          <w:rFonts w:hint="default" w:ascii="Times New Roman" w:hAnsi="Times New Roman" w:cs="Times New Roman"/>
          <w:color w:val="000000" w:themeColor="text1"/>
          <w14:textFill>
            <w14:solidFill>
              <w14:schemeClr w14:val="tx1"/>
            </w14:solidFill>
          </w14:textFill>
        </w:rPr>
        <w:t>围绕重点产业链，梳理潜在并购标的企业清单，支持优质企业围绕产业链上下游加大资源整合力度，鼓励重点企业收购有助于强链补链、提升关键技术水平的优质资产。支持企业通过实物投资、股权置换、联合投资、特许经营、营销合作等方式开展对外投资合作，提升跨国经营能力。</w:t>
      </w:r>
    </w:p>
    <w:p>
      <w:pPr>
        <w:pageBreakBefore w:val="0"/>
        <w:widowControl w:val="0"/>
        <w:kinsoku/>
        <w:wordWrap/>
        <w:overflowPunct/>
        <w:topLinePunct w:val="0"/>
        <w:autoSpaceDE/>
        <w:autoSpaceDN/>
        <w:bidi w:val="0"/>
        <w:adjustRightInd/>
        <w:spacing w:line="240" w:lineRule="auto"/>
        <w:ind w:left="0" w:leftChars="0" w:firstLine="643"/>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楷体_GB2312" w:cs="Times New Roman"/>
          <w:b/>
          <w:bCs/>
          <w:color w:val="000000" w:themeColor="text1"/>
          <w14:textFill>
            <w14:solidFill>
              <w14:schemeClr w14:val="tx1"/>
            </w14:solidFill>
          </w14:textFill>
        </w:rPr>
        <w:t>探索基金招商。</w:t>
      </w:r>
      <w:r>
        <w:rPr>
          <w:rFonts w:hint="default" w:ascii="Times New Roman" w:hAnsi="Times New Roman" w:cs="Times New Roman"/>
          <w:color w:val="000000" w:themeColor="text1"/>
          <w14:textFill>
            <w14:solidFill>
              <w14:schemeClr w14:val="tx1"/>
            </w14:solidFill>
          </w14:textFill>
        </w:rPr>
        <w:t>成立政府投资基金，加强与头部基金机构对接合作，坚持运用投行思维开展资本招商，发挥产业基金的引导作用和放大效应，构建“基金招商+金融服务+孵化赋能”产业基金体系。</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w:t>
      </w:r>
      <w:r>
        <w:rPr>
          <w:rFonts w:hint="default" w:ascii="Times New Roman" w:hAnsi="Times New Roman" w:cs="Times New Roman"/>
        </w:rPr>
        <w:t>完善招引</w:t>
      </w:r>
      <w:r>
        <w:rPr>
          <w:rFonts w:hint="default" w:ascii="Times New Roman" w:hAnsi="Times New Roman" w:cs="Times New Roman"/>
          <w:lang w:val="en-US" w:eastAsia="zh-CN"/>
        </w:rPr>
        <w:t>要素保障</w:t>
      </w:r>
    </w:p>
    <w:p>
      <w:pPr>
        <w:pageBreakBefore w:val="0"/>
        <w:widowControl w:val="0"/>
        <w:kinsoku/>
        <w:wordWrap/>
        <w:overflowPunct/>
        <w:topLinePunct w:val="0"/>
        <w:autoSpaceDE/>
        <w:autoSpaceDN/>
        <w:bidi w:val="0"/>
        <w:adjustRightInd/>
        <w:spacing w:line="240" w:lineRule="auto"/>
        <w:ind w:left="0" w:leftChars="0" w:firstLine="643"/>
        <w:textAlignment w:val="auto"/>
        <w:rPr>
          <w:rFonts w:hint="default" w:ascii="Times New Roman" w:hAnsi="Times New Roman" w:cs="Times New Roman"/>
          <w:lang w:val="en-US" w:eastAsia="zh-CN"/>
        </w:rPr>
      </w:pPr>
      <w:r>
        <w:rPr>
          <w:rFonts w:hint="default" w:ascii="Times New Roman" w:hAnsi="Times New Roman" w:cs="Times New Roman"/>
          <w:color w:val="000000" w:themeColor="text1"/>
          <w14:textFill>
            <w14:solidFill>
              <w14:schemeClr w14:val="tx1"/>
            </w14:solidFill>
          </w14:textFill>
        </w:rPr>
        <w:t>进一步完善潘东智造园公共配套服务建设，持续提升园区软实力，启动新材料产业园区建设，着力引进一批轻纺服装、电子原配件、先进高分子材料、前沿新材料、新型建筑材料等企业。围绕煤电化支柱产业，引导和支持中小企业围绕大企业大集团开展配套协作和专业化服务，形成上中下游产业链。大力支持企业升级改造、提质增效、扩大出口，延伸产业链，做大做强。持续优化招商引资环境，谋划并用好产业发展专项基金，扶持招商引资企业。继续推行招商引资项目区级领导联系包保工作机制，严格执行净地出让制度，确保完成签约项目的拆迁、供地、安置等承诺事项，着力解决企业急难愁盼问题，坚定企业投资信心，提供良好的投资环境。</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16" w:name="_Toc29934"/>
      <w:r>
        <w:rPr>
          <w:rFonts w:hint="default" w:ascii="Times New Roman" w:hAnsi="Times New Roman" w:eastAsia="黑体" w:cs="Times New Roman"/>
          <w:b w:val="0"/>
          <w:bCs/>
          <w:lang w:val="en-US" w:eastAsia="zh-CN"/>
        </w:rPr>
        <w:t>第三节 促进民营经济发展壮大</w:t>
      </w:r>
      <w:bookmarkEnd w:id="116"/>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切实维护好民营企业合法权益</w:t>
      </w:r>
      <w:r>
        <w:rPr>
          <w:rFonts w:hint="default" w:cs="Times New Roman"/>
          <w:lang w:val="en-US" w:eastAsia="zh-CN"/>
        </w:rPr>
        <w:t>，</w:t>
      </w:r>
      <w:r>
        <w:rPr>
          <w:rFonts w:hint="default" w:ascii="Times New Roman" w:hAnsi="Times New Roman" w:cs="Times New Roman"/>
          <w:lang w:val="en-US" w:eastAsia="zh-CN"/>
        </w:rPr>
        <w:t>深入学习贯彻《民营经济促进法》，依法平等保护民营企业产权和企业家权益，促进非公有制经济健康发展和非公有制经济人士健康成长。坚决贯彻“非禁即入”，严格实施全国统一的市场准入负面清单，开展市场准入效能评估，分类有序破解各类隐性壁垒，有效解决“准入难”问题。持续开展“企业家会见日”“民营企业家恳谈会”“万家民营企业大走访”等活动，切实提升市场主体满意度和获得感。持续深化商事制度改革，推动开展住所与经营场所分离登记试点，探索个人独资企业实行公司制改造试点，有效化解投资人的投资风险。按照全省统一部署，有序推开商事登记“确认制”改革试点，实行以申请人信用承诺为基础，材料清单标准化、办理流程电子化、登记确认智能化的商事主体登记制度，进一步降低市场主体创设的制度性成本。完善市场主体退出制度，探索建立部门协同推进“僵尸企业”强制退出机制，推行“税务预检”“破产联办”等注销机制，进一步提高市场退出的效率与安全。</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bookmarkStart w:id="117" w:name="_Toc4633"/>
      <w:r>
        <w:rPr>
          <w:rFonts w:hint="default" w:ascii="Times New Roman" w:hAnsi="Times New Roman" w:eastAsia="黑体" w:cs="Times New Roman"/>
          <w:b w:val="0"/>
          <w:bCs/>
          <w:lang w:val="en-US" w:eastAsia="zh-CN"/>
        </w:rPr>
        <w:t>第四节 深化重点领域改革创新</w:t>
      </w:r>
      <w:bookmarkEnd w:id="117"/>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一、持续深化国企改革</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全面加强党对国有企业的领导，以党建引领助力企业高质量发展。实施新一轮国企改革深化提升行动，完善淮畔集团、潘城建企业管理架构，建立健全现代企业管理制度，剥离融资平台公司政府融资职能，强化企业法人治理，找准企业发展定位，按照企业发展定位实现错位发展，有效提升公司市场化融资能力，增强自我“造血”功能，培育核心业务竞争能力。进一步拓展淮畔集团、潘城建业务经营范围，扩大招标代理、记账代理业务；盘活低效老旧国有资产，加大国有资产出租处置力度；大力开展土地整治项目，增加土地指标调剂收益；加强园区标准化厂房管理，增加租金收入；积极对接电力企业，疏通供热经营渠道，多方增加收入，提升国有企业盈利能力。压实金财融资担保公司代偿风险防控主体责任，加强与银行沟通协作，开展政银担“总对总”业务，做大担保业务规模，提高担保放大倍数，增加国有资本收益。</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二、深化财税体制改革</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积极适应省以下财政体制改革新要求，进一步理顺区财政与上级财政的收入划分和事权支出责任关系，争取在财政体制改革中获得更多的政策支持和财力保障。加大对新兴产业、现代服务业等领域的扶持力度，通过税收优惠政策引导企业发展，增加地方税收收入。进一步强化财政资金统筹整合，围绕区委、区政府重大决策部署，集中财力支持重点项目、民生工程和社会事业发展。持续巩固零基预算改革成果，建立健全财政资金使用效益评价机制，定期对财政资金的使用效果进行评估和分析，根据评价结果及时调整资金使用方向和方式，不断提高财政资金使用效益。推进现代金融业发展，加大金融招商力度，吸引更多优质金融机构入驻潘集。鼓励金融机构在我区开展业务创新，丰富金融产品和服务供给，满足不同层次的金融需求。加快提升金融服务实体经济质效，持续优化政银企对接机制，深入了解企业融资需求，精准推送金融产品和服务，促进金融机构与企业实现有效对接。加大对小微企业和“三农”的金融支持力度。</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三、深化土地集约利用改革</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全力创建矿产类自然资源节约集约示范县（市），持续推进采煤沉陷区土地征收机制和耕地耕作层表土剥离制度，按照省耕地耕作层剥离再利用管理办法，规范工作流程，针对采煤沉陷量大面广、稳沉时间长等特点，开展采煤沉陷动态监测，合理确定预沉陷区范围，并明确取土区、存放区和覆土区，统筹安排好剥离、存放、覆土等任务，剥离的耕作层重点用于新开垦耕地和劣质耕地改良、被污染耕地治理、矿区土地复垦以及城市绿化等。推进城镇低效用地再开发，大力推进“腾笼换鸟”，扎实开展城镇低效用地调查及再开发专项规划编制工作，因地制宜制定城镇低效用地认定标准，推进城镇低效用地地块认定，纳入再开发专项规划中进行监督管理。按规定从税收、奖励、信贷支持和社会影响力等方面，鼓励引导社会资本以出让、出租、合作经营等方式参与低效用地再开发。</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18" w:name="_Toc10992"/>
      <w:r>
        <w:rPr>
          <w:rFonts w:hint="default" w:ascii="Times New Roman" w:hAnsi="Times New Roman" w:eastAsia="黑体" w:cs="Times New Roman"/>
          <w:b w:val="0"/>
          <w:bCs/>
          <w:lang w:val="en-US" w:eastAsia="zh-CN"/>
        </w:rPr>
        <w:t>第五节 优化营商环境4.0版本</w:t>
      </w:r>
      <w:bookmarkEnd w:id="118"/>
    </w:p>
    <w:p>
      <w:pPr>
        <w:pStyle w:val="4"/>
        <w:bidi w:val="0"/>
        <w:rPr>
          <w:rFonts w:hint="default" w:ascii="Times New Roman" w:hAnsi="Times New Roman" w:cs="Times New Roman"/>
        </w:rPr>
      </w:pPr>
      <w:r>
        <w:rPr>
          <w:rFonts w:hint="default" w:ascii="Times New Roman" w:hAnsi="Times New Roman" w:cs="Times New Roman"/>
          <w:lang w:val="en-US" w:eastAsia="zh-CN"/>
        </w:rPr>
        <w:t>一、</w:t>
      </w:r>
      <w:r>
        <w:rPr>
          <w:rFonts w:hint="default" w:ascii="Times New Roman" w:hAnsi="Times New Roman" w:cs="Times New Roman"/>
        </w:rPr>
        <w:t>持续打造一流市场环境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加强“市场环境、要素环境、政务环境、法治环境”等制度创新改革，充分激发各类经营主体活力。</w:t>
      </w:r>
      <w:r>
        <w:rPr>
          <w:rFonts w:hint="default" w:cs="Times New Roman"/>
          <w:color w:val="000000" w:themeColor="text1"/>
          <w:lang w:val="en-US" w:eastAsia="zh-CN"/>
          <w14:textFill>
            <w14:solidFill>
              <w14:schemeClr w14:val="tx1"/>
            </w14:solidFill>
          </w14:textFill>
        </w:rPr>
        <w:t>严格落实</w:t>
      </w:r>
      <w:r>
        <w:rPr>
          <w:rFonts w:hint="default" w:ascii="Times New Roman" w:hAnsi="Times New Roman" w:cs="Times New Roman"/>
          <w:color w:val="000000" w:themeColor="text1"/>
          <w14:textFill>
            <w14:solidFill>
              <w14:schemeClr w14:val="tx1"/>
            </w14:solidFill>
          </w14:textFill>
        </w:rPr>
        <w:t>企业诉求“挂号制”办理等工作机制，大力推进“高效办成一件事”，</w:t>
      </w:r>
      <w:r>
        <w:rPr>
          <w:rFonts w:hint="default" w:cs="Times New Roman"/>
          <w:color w:val="000000" w:themeColor="text1"/>
          <w:lang w:val="en-US" w:eastAsia="zh-CN"/>
          <w14:textFill>
            <w14:solidFill>
              <w14:schemeClr w14:val="tx1"/>
            </w14:solidFill>
          </w14:textFill>
        </w:rPr>
        <w:t>不断</w:t>
      </w:r>
      <w:r>
        <w:rPr>
          <w:rFonts w:hint="default" w:ascii="Times New Roman" w:hAnsi="Times New Roman" w:cs="Times New Roman"/>
          <w:color w:val="000000" w:themeColor="text1"/>
          <w14:textFill>
            <w14:solidFill>
              <w14:schemeClr w14:val="tx1"/>
            </w14:solidFill>
          </w14:textFill>
        </w:rPr>
        <w:t>深化“一屏注销”改革。建立健全惠企政策清单体系，提升“免申即享”“即申即享”质效。全面推行“综合查一次”制度，严肃查处违反“十做到、十严禁”损害营商环境突出问题，全力做到“无事不扰、有求必应”，倾力构建“亲清政商关系”。加强公平竞争审查制度刚性约束，清理和废除妨碍全国统一市场和公平竞争的规定和做法，防止“内卷式”恶性竞争。健全公平竞争审查长效工作机制。按照上级部门工作要求，推行第三方审查和评估机制，开展公平竞争审查制度效应分析。建立公平竞争审查抽查、考核、公示制度，完善投诉举报和查处回应机制。加强反垄断法治宣传教育，加强对互联网领域不正当竞争、侵犯商业秘密、市场混淆、虚假宣传等反不正当竞争案件办理。</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二、深化政务服务规范化便利化改革</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rPr>
        <w:t>推进政务服务事项规范化，规范审批服务、网上办事服务、政务服务场所办事服务及线上线下融合发展，全面推进线上、线下各类政府和社会服务渠道深度融合，打造线上线下服务资源合理配置、标准统一、服务并行的便捷政务服务新体系，满足企业和群众的多样化办事需求。推进政务服务便利化，推动关联性强、办事需求量大、企业和群众获得感强的多个跨部门、跨层级政务服务事项集成化办理，提供主题式、套餐式服务。推进7x24小时自助政务服务向企业聚集和群众密集重点区域延伸，实现政府服务“就近办、身边办”。整合现有政务服务事项前端受理办理功能，重塑再造审批服务流程，建设“纵横全覆盖、事项全口径、内容全方位、流程全链条、服务全渠道”的政务服务“全程网办”平台，实现“一次认证全网通办”，打造流程最优的营商环境。</w:t>
      </w:r>
    </w:p>
    <w:p>
      <w:pPr>
        <w:rPr>
          <w:rFonts w:hint="default" w:ascii="Times New Roman" w:hAnsi="Times New Roman" w:eastAsia="方正小标宋简体" w:cs="Times New Roman"/>
          <w:highlight w:val="yellow"/>
          <w:lang w:val="en-US" w:eastAsia="zh-CN"/>
        </w:rPr>
      </w:pPr>
      <w:r>
        <w:rPr>
          <w:rFonts w:hint="default" w:ascii="Times New Roman" w:hAnsi="Times New Roman" w:eastAsia="方正小标宋简体" w:cs="Times New Roman"/>
          <w:highlight w:val="yellow"/>
          <w:lang w:val="en-US" w:eastAsia="zh-CN"/>
        </w:rPr>
        <w:br w:type="page"/>
      </w:r>
    </w:p>
    <w:p>
      <w:pPr>
        <w:pStyle w:val="2"/>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简体" w:cs="Times New Roman"/>
          <w:color w:val="auto"/>
          <w:highlight w:val="none"/>
          <w:lang w:val="en-US" w:eastAsia="zh-CN"/>
        </w:rPr>
      </w:pPr>
      <w:bookmarkStart w:id="119" w:name="_Toc9754"/>
      <w:r>
        <w:rPr>
          <w:rFonts w:hint="default" w:ascii="Times New Roman" w:hAnsi="Times New Roman" w:eastAsia="方正小标宋简体" w:cs="Times New Roman"/>
          <w:highlight w:val="none"/>
          <w:lang w:val="en-US" w:eastAsia="zh-CN"/>
        </w:rPr>
        <w:t>第</w:t>
      </w:r>
      <w:r>
        <w:rPr>
          <w:rFonts w:hint="eastAsia" w:eastAsia="方正小标宋简体" w:cs="Times New Roman"/>
          <w:highlight w:val="none"/>
          <w:lang w:val="en-US" w:eastAsia="zh-CN"/>
        </w:rPr>
        <w:t>十</w:t>
      </w:r>
      <w:r>
        <w:rPr>
          <w:rFonts w:hint="default" w:ascii="Times New Roman" w:hAnsi="Times New Roman" w:eastAsia="方正小标宋简体" w:cs="Times New Roman"/>
          <w:highlight w:val="none"/>
          <w:lang w:val="en-US" w:eastAsia="zh-CN"/>
        </w:rPr>
        <w:t xml:space="preserve">章 </w:t>
      </w:r>
      <w:r>
        <w:rPr>
          <w:rFonts w:hint="default" w:ascii="Times New Roman" w:hAnsi="Times New Roman" w:eastAsia="方正小标宋简体" w:cs="Times New Roman"/>
          <w:color w:val="auto"/>
          <w:highlight w:val="none"/>
          <w:lang w:val="en-US" w:eastAsia="zh-CN"/>
        </w:rPr>
        <w:t>加强基础设施建设，</w:t>
      </w:r>
      <w:r>
        <w:rPr>
          <w:rFonts w:hint="eastAsia" w:eastAsia="方正小标宋简体" w:cs="Times New Roman"/>
          <w:color w:val="auto"/>
          <w:highlight w:val="none"/>
          <w:lang w:val="en-US" w:eastAsia="zh-CN"/>
        </w:rPr>
        <w:t>夯实区域发展</w:t>
      </w:r>
      <w:r>
        <w:rPr>
          <w:rFonts w:hint="default" w:ascii="Times New Roman" w:hAnsi="Times New Roman" w:eastAsia="方正小标宋简体" w:cs="Times New Roman"/>
          <w:color w:val="auto"/>
          <w:highlight w:val="none"/>
          <w:lang w:val="en-US" w:eastAsia="zh-CN"/>
        </w:rPr>
        <w:t>新</w:t>
      </w:r>
      <w:r>
        <w:rPr>
          <w:rFonts w:hint="eastAsia" w:eastAsia="方正小标宋简体" w:cs="Times New Roman"/>
          <w:color w:val="auto"/>
          <w:highlight w:val="none"/>
          <w:lang w:val="en-US" w:eastAsia="zh-CN"/>
        </w:rPr>
        <w:t>支撑</w:t>
      </w:r>
      <w:bookmarkEnd w:id="119"/>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坚持系统谋划、协同推进，统筹交通基础设施、能源基础设施、水利基础设施、新型基础设施</w:t>
      </w:r>
      <w:r>
        <w:rPr>
          <w:rFonts w:hint="default" w:cs="Times New Roman"/>
          <w:lang w:val="en-US" w:eastAsia="zh-CN"/>
        </w:rPr>
        <w:t>发展</w:t>
      </w:r>
      <w:r>
        <w:rPr>
          <w:rFonts w:hint="default" w:ascii="Times New Roman" w:hAnsi="Times New Roman" w:cs="Times New Roman"/>
          <w:lang w:val="en-US" w:eastAsia="zh-CN"/>
        </w:rPr>
        <w:t>，以能源安全为保障、水利畅通为根基、交通升级为纽带、智慧赋能为引擎，构建绿色智慧便捷的综合基础设施体系。</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20" w:name="_Toc24449"/>
      <w:r>
        <w:rPr>
          <w:rFonts w:hint="default" w:ascii="Times New Roman" w:hAnsi="Times New Roman" w:eastAsia="黑体" w:cs="Times New Roman"/>
          <w:b w:val="0"/>
          <w:bCs/>
          <w:lang w:val="en-US" w:eastAsia="zh-CN"/>
        </w:rPr>
        <w:t>第一节 构建综合交通体系网</w:t>
      </w:r>
      <w:bookmarkEnd w:id="120"/>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一、提升区域交通通达能力</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推动交通基础设施向强网补链、提质赋能转变，着力推动运输通道、区域交通提升。重点推进淮南淮河大桥、G345泥河至田集（孔李淮河大桥北延）、平圩经济开发区链接S230淮河大桥引线、S225淮潘公路潘东矿路口链接S507煤化工大道等新建项目建设。加快推进淮南港皖江物流综合码头工程、淮南市潘集区“平急两用”公铁水联运大宗商品交易基地高质量发展建设，支持省港航集团和淮河能源集团合作打造铁水联运示范项目，优化淮阜铁路货运通道，提升公铁水联运效率，构建现代化综合立体交通体系。加强农村道路建设</w:t>
      </w:r>
      <w:r>
        <w:rPr>
          <w:rFonts w:hint="default" w:cs="Times New Roman"/>
          <w:lang w:val="en-US" w:eastAsia="zh-CN"/>
        </w:rPr>
        <w:t>，</w:t>
      </w:r>
      <w:r>
        <w:rPr>
          <w:rFonts w:hint="default" w:ascii="Times New Roman" w:hAnsi="Times New Roman" w:cs="Times New Roman"/>
          <w:lang w:val="en-US" w:eastAsia="zh-CN"/>
        </w:rPr>
        <w:t>高质量推进新一轮“四好农村路”建设，加快提升农村道路安全防护设施</w:t>
      </w:r>
      <w:r>
        <w:rPr>
          <w:rFonts w:hint="default" w:cs="Times New Roman"/>
          <w:lang w:val="en-US" w:eastAsia="zh-CN"/>
        </w:rPr>
        <w:t>配套水平</w:t>
      </w:r>
      <w:r>
        <w:rPr>
          <w:rFonts w:hint="default" w:ascii="Times New Roman" w:hAnsi="Times New Roman" w:cs="Times New Roman"/>
          <w:lang w:val="en-US" w:eastAsia="zh-CN"/>
        </w:rPr>
        <w:t>，健全农村公路养护保障体系，完善各级路长负责制，全面建成建管护运协调发展的农村公路交通体系，积极争创全省“四好农村路”示范县区</w:t>
      </w:r>
      <w:r>
        <w:rPr>
          <w:rFonts w:hint="default" w:cs="Times New Roman"/>
          <w:lang w:val="en-US" w:eastAsia="zh-CN"/>
        </w:rPr>
        <w:t>，力争</w:t>
      </w:r>
      <w:r>
        <w:rPr>
          <w:rFonts w:hint="default" w:ascii="Times New Roman" w:hAnsi="Times New Roman" w:cs="Times New Roman"/>
          <w:lang w:val="en-US" w:eastAsia="zh-CN"/>
        </w:rPr>
        <w:t>农村公路发展总体水平达到全市前列。扎实推进古沟回族乡潘集通用机场重大项目建设，推动航空基础设施快速发展，加快形成航空-铁路-公路联动的对外交通格局。</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val="0"/>
          <w:sz w:val="30"/>
          <w:szCs w:val="30"/>
          <w:lang w:val="en-US" w:eastAsia="zh-CN"/>
        </w:rPr>
      </w:pPr>
      <w:r>
        <w:rPr>
          <w:rFonts w:hint="default" w:ascii="Times New Roman" w:hAnsi="Times New Roman" w:cs="Times New Roman"/>
        </w:rPr>
        <w:drawing>
          <wp:anchor distT="0" distB="0" distL="114935" distR="114935" simplePos="0" relativeHeight="251660288" behindDoc="0" locked="0" layoutInCell="1" allowOverlap="0">
            <wp:simplePos x="0" y="0"/>
            <wp:positionH relativeFrom="margin">
              <wp:align>center</wp:align>
            </wp:positionH>
            <wp:positionV relativeFrom="margin">
              <wp:align>top</wp:align>
            </wp:positionV>
            <wp:extent cx="5269230" cy="4191000"/>
            <wp:effectExtent l="0" t="0" r="762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69230" cy="4191000"/>
                    </a:xfrm>
                    <a:prstGeom prst="rect">
                      <a:avLst/>
                    </a:prstGeom>
                    <a:noFill/>
                    <a:ln>
                      <a:noFill/>
                    </a:ln>
                  </pic:spPr>
                </pic:pic>
              </a:graphicData>
            </a:graphic>
          </wp:anchor>
        </w:drawing>
      </w:r>
      <w:r>
        <w:rPr>
          <w:rFonts w:hint="default" w:ascii="Times New Roman" w:hAnsi="Times New Roman" w:eastAsia="黑体" w:cs="Times New Roman"/>
          <w:b w:val="0"/>
          <w:bCs w:val="0"/>
          <w:sz w:val="30"/>
          <w:szCs w:val="30"/>
          <w:lang w:val="en-US" w:eastAsia="zh-CN"/>
        </w:rPr>
        <w:t>图</w:t>
      </w:r>
      <w:r>
        <w:rPr>
          <w:rFonts w:hint="default" w:eastAsia="黑体" w:cs="Times New Roman"/>
          <w:b w:val="0"/>
          <w:bCs w:val="0"/>
          <w:sz w:val="30"/>
          <w:szCs w:val="30"/>
          <w:lang w:val="en-US" w:eastAsia="zh-CN"/>
        </w:rPr>
        <w:t>4</w:t>
      </w:r>
      <w:r>
        <w:rPr>
          <w:rFonts w:hint="default" w:ascii="Times New Roman" w:hAnsi="Times New Roman" w:eastAsia="黑体" w:cs="Times New Roman"/>
          <w:b w:val="0"/>
          <w:bCs w:val="0"/>
          <w:sz w:val="30"/>
          <w:szCs w:val="30"/>
          <w:lang w:val="en-US" w:eastAsia="zh-CN"/>
        </w:rPr>
        <w:t xml:space="preserve"> 打造公路-铁路-水运-航空联动的综合交通体系</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二、完善交通运输服务</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强化区域和城乡运输统筹，优化资源配置，推动运输服务向一体高效、多式联运发展。围绕煤炭产业布局货运停车场项目，整合货运场站</w:t>
      </w:r>
      <w:r>
        <w:rPr>
          <w:rFonts w:hint="default" w:cs="Times New Roman"/>
          <w:lang w:val="en-US" w:eastAsia="zh-CN"/>
        </w:rPr>
        <w:t>，打造</w:t>
      </w:r>
      <w:r>
        <w:rPr>
          <w:rFonts w:hint="default" w:ascii="Times New Roman" w:hAnsi="Times New Roman" w:cs="Times New Roman"/>
          <w:lang w:val="en-US" w:eastAsia="zh-CN"/>
        </w:rPr>
        <w:t>构建客货运综合枢纽。持续完善城乡交通网络，依托潘集区综合交通换乘中心（城乡交通一体化试点）项目</w:t>
      </w:r>
      <w:r>
        <w:rPr>
          <w:rFonts w:hint="default" w:cs="Times New Roman"/>
          <w:lang w:val="en-US" w:eastAsia="zh-CN"/>
        </w:rPr>
        <w:t>，</w:t>
      </w:r>
      <w:r>
        <w:rPr>
          <w:rFonts w:hint="default" w:ascii="Times New Roman" w:hAnsi="Times New Roman" w:cs="Times New Roman"/>
          <w:lang w:val="en-US" w:eastAsia="zh-CN"/>
        </w:rPr>
        <w:t>优化城乡公交路线及站点布局，进一步提升城乡交通一体化水平，实现公交化运营全覆盖。</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三、推进智慧绿色交通建设</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锚定“双碳”目标，持续构建能源消耗低、生态环保的智慧绿色交通体系。加快推进公交车向新能源车辆更新升级，大力发展新能源重卡充换电及智联物流项目。加快布局充电桩、换电站、</w:t>
      </w:r>
      <w:r>
        <w:rPr>
          <w:rFonts w:hint="default" w:cs="Times New Roman"/>
          <w:lang w:val="en-US" w:eastAsia="zh-CN"/>
        </w:rPr>
        <w:t>新能源汽车专用</w:t>
      </w:r>
      <w:r>
        <w:rPr>
          <w:rFonts w:hint="default" w:ascii="Times New Roman" w:hAnsi="Times New Roman" w:cs="Times New Roman"/>
          <w:lang w:val="en-US" w:eastAsia="zh-CN"/>
        </w:rPr>
        <w:t>停车场，加强潘集区平圩新能源智慧停车场建设，同步构建“智慧停车”管理系统，优化新能源重卡停车场资源，增加换电站、充电桩数量，扩大服务范围，推动传统能源运输向清洁化、智能化转型。</w:t>
      </w:r>
    </w:p>
    <w:tbl>
      <w:tblPr>
        <w:tblStyle w:val="1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928" w:type="dxa"/>
            <w:vAlign w:val="center"/>
          </w:tcPr>
          <w:p>
            <w:pPr>
              <w:pStyle w:val="5"/>
              <w:bidi w:val="0"/>
              <w:rPr>
                <w:rFonts w:hint="default" w:ascii="Times New Roman" w:hAnsi="Times New Roman" w:eastAsia="宋体" w:cs="Times New Roman"/>
                <w:b/>
                <w:szCs w:val="24"/>
                <w:lang w:val="en-US" w:eastAsia="zh-CN"/>
              </w:rPr>
            </w:pPr>
            <w:bookmarkStart w:id="121" w:name="_Toc354"/>
            <w:r>
              <w:rPr>
                <w:rFonts w:hint="default" w:cs="Times New Roman"/>
              </w:rPr>
              <w:t>专栏</w:t>
            </w:r>
            <w:r>
              <w:rPr>
                <w:rFonts w:hint="eastAsia" w:cs="Times New Roman"/>
                <w:lang w:val="en-US" w:eastAsia="zh-CN"/>
              </w:rPr>
              <w:t>9</w:t>
            </w:r>
            <w:r>
              <w:rPr>
                <w:rFonts w:hint="default" w:cs="Times New Roman"/>
              </w:rPr>
              <w:t xml:space="preserve"> </w:t>
            </w:r>
            <w:r>
              <w:rPr>
                <w:rFonts w:hint="default" w:cs="Times New Roman"/>
                <w:lang w:val="en-US" w:eastAsia="zh-CN"/>
              </w:rPr>
              <w:t>综合交通重点项目</w:t>
            </w:r>
            <w:bookmarkEnd w:id="1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928" w:type="dxa"/>
          </w:tcPr>
          <w:p>
            <w:pPr>
              <w:spacing w:after="0" w:line="600" w:lineRule="exact"/>
              <w:ind w:left="0" w:leftChars="0" w:firstLine="562" w:firstLineChars="200"/>
              <w:jc w:val="both"/>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sz w:val="28"/>
                <w:szCs w:val="28"/>
                <w:lang w:eastAsia="zh-CN"/>
              </w:rPr>
              <w:t>公路</w:t>
            </w:r>
            <w:r>
              <w:rPr>
                <w:rFonts w:hint="default" w:ascii="Times New Roman" w:hAnsi="Times New Roman" w:cs="Times New Roman"/>
                <w:b/>
                <w:sz w:val="28"/>
                <w:szCs w:val="28"/>
                <w:lang w:eastAsia="zh-CN"/>
              </w:rPr>
              <w:t>。</w:t>
            </w:r>
            <w:r>
              <w:rPr>
                <w:rFonts w:hint="default" w:ascii="Times New Roman" w:hAnsi="Times New Roman" w:eastAsia="仿宋_GB2312" w:cs="Times New Roman"/>
                <w:sz w:val="28"/>
                <w:szCs w:val="28"/>
              </w:rPr>
              <w:t>S63怀远至凤台高速公路淮南段</w:t>
            </w:r>
            <w:r>
              <w:rPr>
                <w:rFonts w:hint="default" w:ascii="Times New Roman" w:hAnsi="Times New Roman" w:eastAsia="仿宋_GB2312" w:cs="Times New Roman"/>
                <w:sz w:val="28"/>
                <w:szCs w:val="28"/>
                <w:lang w:eastAsia="zh-CN"/>
              </w:rPr>
              <w:t>、G345潘集区田集至姬庄子一级公路改建工程、S10扬州至淮南高速公路淮南段、G345潘集区泥河至田集（孔李淮河大桥北延）项目、S239板凤路（潘集段）提升改造工程、S507祁集至平圩段一级公路改建工程、煤化工大道西延线工程、S230高皇至常坟二级公路新建工程。</w:t>
            </w:r>
          </w:p>
          <w:p>
            <w:pPr>
              <w:spacing w:after="0" w:line="600" w:lineRule="exact"/>
              <w:ind w:firstLine="562" w:firstLineChars="200"/>
              <w:jc w:val="both"/>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sz w:val="28"/>
                <w:szCs w:val="28"/>
                <w:lang w:val="en-US" w:eastAsia="zh-CN"/>
              </w:rPr>
              <w:t>航空</w:t>
            </w:r>
            <w:r>
              <w:rPr>
                <w:rFonts w:hint="default" w:ascii="Times New Roman" w:hAnsi="Times New Roman" w:cs="Times New Roman"/>
                <w:b/>
                <w:sz w:val="28"/>
                <w:szCs w:val="28"/>
                <w:lang w:eastAsia="zh-CN"/>
              </w:rPr>
              <w:t>。</w:t>
            </w:r>
            <w:r>
              <w:rPr>
                <w:rFonts w:hint="default" w:ascii="Times New Roman" w:hAnsi="Times New Roman" w:cs="Times New Roman"/>
                <w:b w:val="0"/>
                <w:bCs/>
                <w:sz w:val="28"/>
                <w:szCs w:val="28"/>
                <w:lang w:val="en-US" w:eastAsia="zh-CN"/>
              </w:rPr>
              <w:t>潘集区</w:t>
            </w:r>
            <w:r>
              <w:rPr>
                <w:rFonts w:hint="default" w:ascii="Times New Roman" w:hAnsi="Times New Roman" w:cs="Times New Roman"/>
                <w:sz w:val="28"/>
                <w:szCs w:val="28"/>
                <w:lang w:val="en-US" w:eastAsia="zh-CN"/>
              </w:rPr>
              <w:t>通用机场建设项目</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lang w:val="en-US" w:eastAsia="zh-CN"/>
              </w:rPr>
              <w:t>按A类小型通用机场标准规划建设航站综合楼、机库、供油、供电等配套设施，跑道长度为1000米</w:t>
            </w:r>
            <w:r>
              <w:rPr>
                <w:rFonts w:hint="default" w:ascii="Times New Roman" w:hAnsi="Times New Roman" w:cs="Times New Roman"/>
                <w:sz w:val="28"/>
                <w:szCs w:val="28"/>
                <w:lang w:val="en-US" w:eastAsia="zh-CN"/>
              </w:rPr>
              <w:t>，</w:t>
            </w:r>
            <w:r>
              <w:rPr>
                <w:rFonts w:hint="default" w:ascii="Times New Roman" w:hAnsi="Times New Roman" w:eastAsia="仿宋_GB2312" w:cs="Times New Roman"/>
                <w:sz w:val="28"/>
                <w:szCs w:val="28"/>
                <w:lang w:val="en-US" w:eastAsia="zh-CN"/>
              </w:rPr>
              <w:t>主要功能为社会公共服务、应急救援等</w:t>
            </w:r>
            <w:r>
              <w:rPr>
                <w:rFonts w:hint="default" w:ascii="Times New Roman" w:hAnsi="Times New Roman" w:eastAsia="仿宋_GB2312" w:cs="Times New Roman"/>
                <w:sz w:val="28"/>
                <w:szCs w:val="28"/>
                <w:lang w:eastAsia="zh-CN"/>
              </w:rPr>
              <w:t>。</w:t>
            </w:r>
          </w:p>
          <w:p>
            <w:pPr>
              <w:spacing w:after="0" w:line="600" w:lineRule="exact"/>
              <w:ind w:firstLine="562" w:firstLineChars="200"/>
              <w:jc w:val="both"/>
              <w:rPr>
                <w:rFonts w:hint="default" w:ascii="Times New Roman" w:hAnsi="Times New Roman" w:eastAsia="仿宋_GB2312" w:cs="Times New Roman"/>
                <w:b/>
                <w:sz w:val="28"/>
                <w:szCs w:val="28"/>
                <w:lang w:val="en-US" w:eastAsia="zh-CN"/>
              </w:rPr>
            </w:pPr>
            <w:r>
              <w:rPr>
                <w:rFonts w:hint="default" w:ascii="Times New Roman" w:hAnsi="Times New Roman" w:eastAsia="仿宋_GB2312" w:cs="Times New Roman"/>
                <w:b/>
                <w:sz w:val="28"/>
                <w:szCs w:val="28"/>
                <w:lang w:val="en-US" w:eastAsia="zh-CN"/>
              </w:rPr>
              <w:t>桥梁</w:t>
            </w:r>
            <w:r>
              <w:rPr>
                <w:rFonts w:hint="default" w:ascii="Times New Roman" w:hAnsi="Times New Roman" w:cs="Times New Roman"/>
                <w:b/>
                <w:sz w:val="28"/>
                <w:szCs w:val="28"/>
                <w:lang w:eastAsia="zh-CN"/>
              </w:rPr>
              <w:t>。</w:t>
            </w:r>
            <w:r>
              <w:rPr>
                <w:rFonts w:hint="default" w:ascii="Times New Roman" w:hAnsi="Times New Roman" w:eastAsia="仿宋_GB2312" w:cs="Times New Roman"/>
                <w:sz w:val="28"/>
                <w:szCs w:val="28"/>
              </w:rPr>
              <w:t>淮南淮河大桥</w:t>
            </w:r>
            <w:r>
              <w:rPr>
                <w:rFonts w:hint="default" w:ascii="Times New Roman" w:hAnsi="Times New Roman" w:eastAsia="仿宋_GB2312" w:cs="Times New Roman"/>
                <w:sz w:val="28"/>
                <w:szCs w:val="28"/>
                <w:lang w:val="en-US" w:eastAsia="zh-CN"/>
              </w:rPr>
              <w:t>项目</w:t>
            </w:r>
            <w:r>
              <w:rPr>
                <w:rFonts w:hint="default" w:ascii="Times New Roman" w:hAnsi="Times New Roman" w:cs="Times New Roman"/>
                <w:sz w:val="28"/>
                <w:szCs w:val="28"/>
                <w:lang w:val="en-US" w:eastAsia="zh-CN"/>
              </w:rPr>
              <w:t>，全长9.3千米，新建双向六车道</w:t>
            </w:r>
            <w:r>
              <w:rPr>
                <w:rFonts w:hint="default" w:ascii="Times New Roman" w:hAnsi="Times New Roman" w:eastAsia="仿宋_GB2312" w:cs="Times New Roman"/>
                <w:sz w:val="28"/>
                <w:szCs w:val="28"/>
                <w:lang w:val="en-US" w:eastAsia="zh-CN"/>
              </w:rPr>
              <w:t>。</w:t>
            </w:r>
          </w:p>
          <w:p>
            <w:pPr>
              <w:spacing w:after="0" w:line="600" w:lineRule="exact"/>
              <w:ind w:left="0" w:leftChars="0" w:firstLine="562" w:firstLineChars="200"/>
              <w:jc w:val="both"/>
              <w:rPr>
                <w:rFonts w:hint="default" w:ascii="Times New Roman" w:hAnsi="Times New Roman" w:cs="Times New Roman"/>
              </w:rPr>
            </w:pPr>
            <w:r>
              <w:rPr>
                <w:rFonts w:hint="default" w:ascii="Times New Roman" w:hAnsi="Times New Roman" w:eastAsia="仿宋_GB2312" w:cs="Times New Roman"/>
                <w:b/>
                <w:sz w:val="28"/>
                <w:szCs w:val="28"/>
                <w:lang w:eastAsia="zh-CN"/>
              </w:rPr>
              <w:t>港口码头</w:t>
            </w:r>
            <w:r>
              <w:rPr>
                <w:rFonts w:hint="default" w:ascii="Times New Roman" w:hAnsi="Times New Roman" w:cs="Times New Roman"/>
                <w:b/>
                <w:sz w:val="28"/>
                <w:szCs w:val="28"/>
                <w:lang w:eastAsia="zh-CN"/>
              </w:rPr>
              <w:t>。</w:t>
            </w:r>
            <w:r>
              <w:rPr>
                <w:rFonts w:hint="default" w:ascii="Times New Roman" w:hAnsi="Times New Roman" w:eastAsia="仿宋_GB2312" w:cs="Times New Roman"/>
                <w:sz w:val="28"/>
                <w:szCs w:val="28"/>
              </w:rPr>
              <w:t>淮南平圩电厂综合码头工程</w:t>
            </w:r>
            <w:r>
              <w:rPr>
                <w:rFonts w:hint="default" w:ascii="Times New Roman" w:hAnsi="Times New Roman" w:eastAsia="仿宋_GB2312" w:cs="Times New Roman"/>
                <w:sz w:val="28"/>
                <w:szCs w:val="28"/>
                <w:lang w:eastAsia="zh-CN"/>
              </w:rPr>
              <w:t>。</w:t>
            </w:r>
          </w:p>
        </w:tc>
      </w:tr>
    </w:tbl>
    <w:p>
      <w:pPr>
        <w:bidi w:val="0"/>
        <w:rPr>
          <w:rFonts w:hint="default" w:ascii="Times New Roman" w:hAnsi="Times New Roman" w:cs="Times New Roman"/>
          <w:lang w:val="en-US" w:eastAsia="zh-CN"/>
        </w:rPr>
      </w:pP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22" w:name="_Toc32459"/>
      <w:r>
        <w:rPr>
          <w:rFonts w:hint="default" w:ascii="Times New Roman" w:hAnsi="Times New Roman" w:eastAsia="黑体" w:cs="Times New Roman"/>
          <w:b w:val="0"/>
          <w:bCs/>
          <w:lang w:val="en-US" w:eastAsia="zh-CN"/>
        </w:rPr>
        <w:t>第二节 构建能源设施体系网</w:t>
      </w:r>
      <w:bookmarkEnd w:id="122"/>
    </w:p>
    <w:p>
      <w:pPr>
        <w:bidi w:val="0"/>
        <w:rPr>
          <w:rFonts w:hint="default" w:ascii="Times New Roman" w:hAnsi="Times New Roman" w:cs="Times New Roman"/>
          <w:highlight w:val="none"/>
          <w:lang w:val="en-US" w:eastAsia="zh-CN"/>
        </w:rPr>
      </w:pPr>
      <w:r>
        <w:rPr>
          <w:rFonts w:hint="default" w:ascii="Times New Roman" w:hAnsi="Times New Roman" w:cs="Times New Roman"/>
          <w:lang w:val="en-US" w:eastAsia="zh-CN"/>
        </w:rPr>
        <w:t>加快构建清洁低碳、安全高效、智慧多元的新型能源设施体系。立足煤电基本盘，重点建设长三角能源保供储备基地项目。加快推进城区输变电工程建设，大力推进配网升级改造</w:t>
      </w:r>
      <w:r>
        <w:rPr>
          <w:rFonts w:hint="default" w:cs="Times New Roman"/>
          <w:lang w:val="en-US" w:eastAsia="zh-CN"/>
        </w:rPr>
        <w:t>，重点保障汤庄—平圩500kV线路工程、平圩—空港500KV线路增容工程等项目建成运行</w:t>
      </w:r>
      <w:r>
        <w:rPr>
          <w:rFonts w:hint="default" w:ascii="Times New Roman" w:hAnsi="Times New Roman" w:cs="Times New Roman"/>
          <w:lang w:val="en-US" w:eastAsia="zh-CN"/>
        </w:rPr>
        <w:t>。因地制宜利用采煤沉陷区水面建设集中式光伏电站，持续推进采煤沉陷区光伏基地建设，围绕采煤沉陷区风光储氢一体化项目，整合潘集镇、芦集镇、田集街道、泥河等乡镇资源，打造风力发电、光伏发电、火力发电+氢气、储能基地。</w:t>
      </w:r>
      <w:r>
        <w:rPr>
          <w:rFonts w:hint="default" w:ascii="Times New Roman" w:hAnsi="Times New Roman" w:cs="Times New Roman"/>
          <w:highlight w:val="none"/>
          <w:lang w:val="en-US" w:eastAsia="zh-CN"/>
        </w:rPr>
        <w:t>依托淮河能源潘三电厂，</w:t>
      </w:r>
      <w:r>
        <w:rPr>
          <w:rFonts w:hint="default" w:cs="Times New Roman"/>
          <w:highlight w:val="none"/>
          <w:lang w:val="en-US" w:eastAsia="zh-CN"/>
        </w:rPr>
        <w:t>推动</w:t>
      </w:r>
      <w:r>
        <w:rPr>
          <w:rFonts w:hint="default" w:ascii="Times New Roman" w:hAnsi="Times New Roman" w:cs="Times New Roman"/>
          <w:highlight w:val="none"/>
          <w:lang w:val="en-US" w:eastAsia="zh-CN"/>
        </w:rPr>
        <w:t>集成新能源、新型储能、汽轮发电、一体化智慧调控等</w:t>
      </w:r>
      <w:r>
        <w:rPr>
          <w:rFonts w:hint="default" w:cs="Times New Roman"/>
          <w:highlight w:val="none"/>
          <w:lang w:val="en-US" w:eastAsia="zh-CN"/>
        </w:rPr>
        <w:t>核心技术突破</w:t>
      </w:r>
      <w:r>
        <w:rPr>
          <w:rFonts w:hint="default" w:ascii="Times New Roman" w:hAnsi="Times New Roman" w:cs="Times New Roman"/>
          <w:highlight w:val="none"/>
          <w:lang w:val="en-US" w:eastAsia="zh-CN"/>
        </w:rPr>
        <w:t>，打造国内首个风光热储与退役煤电融合的新型友好电站示范。</w:t>
      </w:r>
    </w:p>
    <w:tbl>
      <w:tblPr>
        <w:tblStyle w:val="1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928" w:type="dxa"/>
            <w:vAlign w:val="center"/>
          </w:tcPr>
          <w:p>
            <w:pPr>
              <w:pStyle w:val="5"/>
              <w:bidi w:val="0"/>
              <w:rPr>
                <w:rFonts w:hint="default" w:ascii="Times New Roman" w:hAnsi="Times New Roman" w:eastAsia="黑体" w:cs="Times New Roman"/>
                <w:b/>
                <w:szCs w:val="28"/>
                <w:lang w:val="en-US" w:eastAsia="zh-CN"/>
              </w:rPr>
            </w:pPr>
            <w:bookmarkStart w:id="123" w:name="_Toc32511"/>
            <w:r>
              <w:rPr>
                <w:rFonts w:hint="default" w:cs="Times New Roman"/>
              </w:rPr>
              <w:t>专栏</w:t>
            </w:r>
            <w:r>
              <w:rPr>
                <w:rFonts w:hint="eastAsia" w:cs="Times New Roman"/>
                <w:lang w:val="en-US" w:eastAsia="zh-CN"/>
              </w:rPr>
              <w:t>10</w:t>
            </w:r>
            <w:r>
              <w:rPr>
                <w:rFonts w:hint="default" w:cs="Times New Roman"/>
              </w:rPr>
              <w:t xml:space="preserve"> </w:t>
            </w:r>
            <w:r>
              <w:rPr>
                <w:rFonts w:hint="default" w:cs="Times New Roman"/>
                <w:lang w:val="en-US" w:eastAsia="zh-CN"/>
              </w:rPr>
              <w:t>能源基础设施重点项目</w:t>
            </w:r>
            <w:bookmarkEnd w:id="1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928" w:type="dxa"/>
          </w:tcPr>
          <w:p>
            <w:pPr>
              <w:spacing w:after="0" w:line="600" w:lineRule="exact"/>
              <w:ind w:firstLine="562" w:firstLineChars="200"/>
              <w:jc w:val="both"/>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sz w:val="28"/>
                <w:szCs w:val="28"/>
                <w:highlight w:val="none"/>
                <w:lang w:val="en-US" w:eastAsia="zh-CN"/>
              </w:rPr>
              <w:t>煤矿</w:t>
            </w:r>
            <w:r>
              <w:rPr>
                <w:rFonts w:hint="default" w:ascii="Times New Roman" w:hAnsi="Times New Roman" w:cs="Times New Roman"/>
                <w:b/>
                <w:sz w:val="28"/>
                <w:szCs w:val="28"/>
                <w:highlight w:val="none"/>
                <w:lang w:val="en-US" w:eastAsia="zh-CN"/>
              </w:rPr>
              <w:t>。</w:t>
            </w:r>
            <w:r>
              <w:rPr>
                <w:rFonts w:hint="default" w:ascii="Times New Roman" w:hAnsi="Times New Roman" w:cs="Times New Roman"/>
                <w:sz w:val="28"/>
                <w:szCs w:val="28"/>
                <w:highlight w:val="none"/>
                <w:lang w:val="en-US" w:eastAsia="zh-CN"/>
              </w:rPr>
              <w:t>持续推进</w:t>
            </w:r>
            <w:r>
              <w:rPr>
                <w:rFonts w:hint="default" w:ascii="Times New Roman" w:hAnsi="Times New Roman" w:eastAsia="仿宋_GB2312" w:cs="Times New Roman"/>
                <w:sz w:val="28"/>
                <w:szCs w:val="28"/>
                <w:highlight w:val="none"/>
              </w:rPr>
              <w:t>朱集东煤矿1421（3）工作面地面瓦斯治理井工程</w:t>
            </w:r>
            <w:r>
              <w:rPr>
                <w:rFonts w:hint="default" w:ascii="Times New Roman" w:hAnsi="Times New Roman" w:cs="Times New Roman"/>
                <w:sz w:val="28"/>
                <w:szCs w:val="28"/>
                <w:highlight w:val="none"/>
                <w:lang w:eastAsia="zh-CN"/>
              </w:rPr>
              <w:t>、潘三煤矿二水平东一B组煤采区地面瓦斯治理井工程</w:t>
            </w:r>
            <w:r>
              <w:rPr>
                <w:rFonts w:hint="default" w:ascii="Times New Roman" w:hAnsi="Times New Roman" w:cs="Times New Roman"/>
                <w:sz w:val="28"/>
                <w:szCs w:val="28"/>
                <w:highlight w:val="none"/>
                <w:lang w:val="en-US" w:eastAsia="zh-CN"/>
              </w:rPr>
              <w:t>建设</w:t>
            </w:r>
            <w:r>
              <w:rPr>
                <w:rFonts w:hint="default" w:ascii="Times New Roman" w:hAnsi="Times New Roman" w:cs="Times New Roman"/>
                <w:sz w:val="28"/>
                <w:szCs w:val="28"/>
                <w:highlight w:val="none"/>
                <w:lang w:eastAsia="zh-CN"/>
              </w:rPr>
              <w:t>，</w:t>
            </w:r>
            <w:r>
              <w:rPr>
                <w:rFonts w:hint="default" w:ascii="Times New Roman" w:hAnsi="Times New Roman" w:eastAsia="仿宋_GB2312" w:cs="Times New Roman"/>
                <w:sz w:val="28"/>
                <w:szCs w:val="28"/>
                <w:highlight w:val="none"/>
                <w:lang w:eastAsia="zh-CN"/>
              </w:rPr>
              <w:t>长三角能源保供储备基地项目</w:t>
            </w:r>
            <w:r>
              <w:rPr>
                <w:rFonts w:hint="default" w:ascii="Times New Roman" w:hAnsi="Times New Roman" w:cs="Times New Roman"/>
                <w:sz w:val="28"/>
                <w:szCs w:val="28"/>
                <w:highlight w:val="none"/>
                <w:lang w:eastAsia="zh-CN"/>
              </w:rPr>
              <w:t>、国家煤炭储备项目。</w:t>
            </w:r>
          </w:p>
          <w:p>
            <w:pPr>
              <w:spacing w:after="0" w:line="600" w:lineRule="exact"/>
              <w:ind w:firstLine="562" w:firstLineChars="200"/>
              <w:jc w:val="both"/>
              <w:rPr>
                <w:rFonts w:hint="default" w:ascii="Times New Roman" w:hAnsi="Times New Roman" w:eastAsia="仿宋_GB2312" w:cs="Times New Roman"/>
                <w:sz w:val="28"/>
                <w:szCs w:val="28"/>
                <w:lang w:eastAsia="zh-CN"/>
              </w:rPr>
            </w:pPr>
            <w:r>
              <w:rPr>
                <w:rFonts w:hint="default" w:ascii="Times New Roman" w:hAnsi="Times New Roman" w:cs="Times New Roman"/>
                <w:b/>
                <w:sz w:val="28"/>
                <w:szCs w:val="28"/>
                <w:lang w:val="en-US" w:eastAsia="zh-CN"/>
              </w:rPr>
              <w:t>火电。</w:t>
            </w:r>
            <w:r>
              <w:rPr>
                <w:rFonts w:hint="default" w:ascii="Times New Roman" w:hAnsi="Times New Roman" w:eastAsia="仿宋_GB2312" w:cs="Times New Roman"/>
                <w:sz w:val="28"/>
                <w:szCs w:val="28"/>
                <w:highlight w:val="none"/>
              </w:rPr>
              <w:t>平圩电厂四期1000千伏送出工程项目</w:t>
            </w:r>
            <w:r>
              <w:rPr>
                <w:rFonts w:hint="default" w:ascii="Times New Roman" w:hAnsi="Times New Roman" w:cs="Times New Roman"/>
                <w:sz w:val="28"/>
                <w:szCs w:val="28"/>
                <w:highlight w:val="none"/>
                <w:lang w:eastAsia="zh-CN"/>
              </w:rPr>
              <w:t>、</w:t>
            </w:r>
            <w:r>
              <w:rPr>
                <w:rFonts w:hint="default" w:ascii="Times New Roman" w:hAnsi="Times New Roman" w:eastAsia="仿宋_GB2312" w:cs="Times New Roman"/>
                <w:sz w:val="28"/>
                <w:szCs w:val="28"/>
                <w:lang w:eastAsia="zh-CN"/>
              </w:rPr>
              <w:t>田集电厂三期</w:t>
            </w:r>
          </w:p>
          <w:p>
            <w:pPr>
              <w:spacing w:after="0" w:line="600" w:lineRule="exact"/>
              <w:ind w:firstLine="562" w:firstLineChars="200"/>
              <w:jc w:val="both"/>
              <w:rPr>
                <w:rFonts w:hint="default" w:ascii="Times New Roman" w:hAnsi="Times New Roman" w:eastAsia="仿宋_GB2312" w:cs="Times New Roman"/>
                <w:sz w:val="28"/>
                <w:szCs w:val="28"/>
                <w:highlight w:val="yellow"/>
                <w:lang w:eastAsia="zh-CN"/>
              </w:rPr>
            </w:pPr>
            <w:r>
              <w:rPr>
                <w:rFonts w:hint="default" w:ascii="Times New Roman" w:hAnsi="Times New Roman" w:cs="Times New Roman"/>
                <w:b/>
                <w:bCs/>
                <w:sz w:val="28"/>
                <w:szCs w:val="28"/>
                <w:lang w:val="en-US" w:eastAsia="zh-CN"/>
              </w:rPr>
              <w:t>风电。</w:t>
            </w:r>
            <w:r>
              <w:rPr>
                <w:rFonts w:hint="default" w:ascii="Times New Roman" w:hAnsi="Times New Roman" w:eastAsia="仿宋_GB2312" w:cs="Times New Roman"/>
                <w:sz w:val="28"/>
                <w:szCs w:val="28"/>
                <w:lang w:eastAsia="zh-CN"/>
              </w:rPr>
              <w:t>潘集区风电乡村振兴工程、大唐淮南风电场项目、、淮南潘集150MW风电项目。</w:t>
            </w:r>
          </w:p>
          <w:p>
            <w:pPr>
              <w:spacing w:after="0" w:line="600" w:lineRule="exact"/>
              <w:ind w:firstLine="562" w:firstLineChars="200"/>
              <w:jc w:val="both"/>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sz w:val="28"/>
                <w:szCs w:val="28"/>
                <w:lang w:val="en-US" w:eastAsia="zh-CN"/>
              </w:rPr>
              <w:t>光伏</w:t>
            </w:r>
            <w:r>
              <w:rPr>
                <w:rFonts w:hint="default" w:ascii="Times New Roman" w:hAnsi="Times New Roman" w:cs="Times New Roman"/>
                <w:b/>
                <w:sz w:val="28"/>
                <w:szCs w:val="28"/>
                <w:lang w:val="en-US" w:eastAsia="zh-CN"/>
              </w:rPr>
              <w:t>。</w:t>
            </w:r>
            <w:r>
              <w:rPr>
                <w:rFonts w:hint="default" w:ascii="Times New Roman" w:hAnsi="Times New Roman" w:eastAsia="仿宋_GB2312" w:cs="Times New Roman"/>
                <w:sz w:val="28"/>
                <w:szCs w:val="28"/>
                <w:lang w:val="en-US" w:eastAsia="zh-CN"/>
              </w:rPr>
              <w:t>实施</w:t>
            </w:r>
            <w:r>
              <w:rPr>
                <w:rFonts w:hint="default" w:ascii="Times New Roman" w:hAnsi="Times New Roman" w:eastAsia="仿宋_GB2312" w:cs="Times New Roman"/>
                <w:sz w:val="28"/>
                <w:szCs w:val="28"/>
              </w:rPr>
              <w:t>淮河能源电力集团潘集采煤沉陷区一期100MW光伏发电</w:t>
            </w:r>
            <w:r>
              <w:rPr>
                <w:rFonts w:hint="default" w:ascii="Times New Roman" w:hAnsi="Times New Roman" w:cs="Times New Roman"/>
                <w:sz w:val="28"/>
                <w:szCs w:val="28"/>
                <w:lang w:val="en-US" w:eastAsia="zh-CN"/>
              </w:rPr>
              <w:t>及</w:t>
            </w:r>
            <w:r>
              <w:rPr>
                <w:rFonts w:hint="default" w:ascii="Times New Roman" w:hAnsi="Times New Roman" w:eastAsia="仿宋_GB2312" w:cs="Times New Roman"/>
                <w:sz w:val="28"/>
                <w:szCs w:val="28"/>
              </w:rPr>
              <w:t>二期200MW光伏发电项目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平圩三电潘集采煤沉陷区100MW光伏发电</w:t>
            </w:r>
            <w:r>
              <w:rPr>
                <w:rFonts w:hint="default" w:ascii="Times New Roman" w:hAnsi="Times New Roman" w:eastAsia="仿宋_GB2312" w:cs="Times New Roman"/>
                <w:sz w:val="28"/>
                <w:szCs w:val="28"/>
                <w:lang w:val="en-US" w:eastAsia="zh-CN"/>
              </w:rPr>
              <w:t>。</w:t>
            </w:r>
          </w:p>
          <w:p>
            <w:pPr>
              <w:spacing w:after="0" w:line="600" w:lineRule="exact"/>
              <w:ind w:firstLine="562" w:firstLineChars="200"/>
              <w:jc w:val="both"/>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sz w:val="28"/>
                <w:szCs w:val="28"/>
                <w:lang w:val="en-US" w:eastAsia="zh-CN"/>
              </w:rPr>
              <w:t>储能</w:t>
            </w:r>
            <w:r>
              <w:rPr>
                <w:rFonts w:hint="default" w:ascii="Times New Roman" w:hAnsi="Times New Roman" w:cs="Times New Roman"/>
                <w:b/>
                <w:sz w:val="28"/>
                <w:szCs w:val="28"/>
                <w:lang w:val="en-US" w:eastAsia="zh-CN"/>
              </w:rPr>
              <w:t>。</w:t>
            </w:r>
            <w:r>
              <w:rPr>
                <w:rFonts w:hint="default" w:ascii="Times New Roman" w:hAnsi="Times New Roman" w:eastAsia="仿宋_GB2312" w:cs="Times New Roman"/>
                <w:sz w:val="28"/>
                <w:szCs w:val="28"/>
              </w:rPr>
              <w:t>安徽德承潘集区光储充换电站项目</w:t>
            </w:r>
            <w:r>
              <w:rPr>
                <w:rFonts w:hint="default" w:ascii="Times New Roman" w:hAnsi="Times New Roman" w:eastAsia="仿宋_GB2312" w:cs="Times New Roman"/>
                <w:sz w:val="28"/>
                <w:szCs w:val="28"/>
                <w:lang w:eastAsia="zh-CN"/>
              </w:rPr>
              <w:t>、中电潘集共享储能一期工程100MW/200MWh电站项目</w:t>
            </w:r>
            <w:r>
              <w:rPr>
                <w:rFonts w:hint="default" w:ascii="Times New Roman" w:hAnsi="Times New Roman" w:cs="Times New Roman"/>
                <w:sz w:val="28"/>
                <w:szCs w:val="28"/>
                <w:lang w:eastAsia="zh-CN"/>
              </w:rPr>
              <w:t>、风光热储与退役煤电融合的新型友好综合储能示范电站、</w:t>
            </w:r>
            <w:r>
              <w:rPr>
                <w:rFonts w:hint="default" w:ascii="Times New Roman" w:hAnsi="Times New Roman" w:eastAsia="仿宋_GB2312" w:cs="Times New Roman"/>
                <w:b w:val="0"/>
                <w:bCs w:val="0"/>
                <w:kern w:val="2"/>
                <w:sz w:val="28"/>
                <w:szCs w:val="28"/>
                <w:lang w:val="en-US" w:eastAsia="zh-CN" w:bidi="ar-SA"/>
              </w:rPr>
              <w:t>采煤沉陷区风光储氢一体化项目</w:t>
            </w:r>
            <w:r>
              <w:rPr>
                <w:rFonts w:hint="default" w:ascii="Times New Roman" w:hAnsi="Times New Roman" w:eastAsia="仿宋_GB2312" w:cs="Times New Roman"/>
                <w:sz w:val="28"/>
                <w:szCs w:val="28"/>
                <w:lang w:eastAsia="zh-CN"/>
              </w:rPr>
              <w:t>。</w:t>
            </w:r>
          </w:p>
          <w:p>
            <w:pPr>
              <w:spacing w:after="0" w:line="600" w:lineRule="exact"/>
              <w:jc w:val="both"/>
              <w:rPr>
                <w:rFonts w:hint="default" w:ascii="Times New Roman" w:hAnsi="Times New Roman" w:cs="Times New Roman"/>
                <w:sz w:val="28"/>
                <w:szCs w:val="28"/>
                <w:lang w:eastAsia="zh-CN"/>
              </w:rPr>
            </w:pPr>
            <w:r>
              <w:rPr>
                <w:rFonts w:hint="default" w:ascii="Times New Roman" w:hAnsi="Times New Roman" w:eastAsia="仿宋_GB2312" w:cs="Times New Roman"/>
                <w:b/>
                <w:sz w:val="28"/>
                <w:szCs w:val="28"/>
                <w:lang w:val="en-US" w:eastAsia="zh-CN"/>
              </w:rPr>
              <w:t>其他</w:t>
            </w:r>
            <w:r>
              <w:rPr>
                <w:rFonts w:hint="default" w:ascii="Times New Roman" w:hAnsi="Times New Roman" w:cs="Times New Roman"/>
                <w:b/>
                <w:sz w:val="28"/>
                <w:szCs w:val="28"/>
                <w:lang w:val="en-US" w:eastAsia="zh-CN"/>
              </w:rPr>
              <w:t>项目。</w:t>
            </w:r>
            <w:r>
              <w:rPr>
                <w:rFonts w:hint="default" w:ascii="Times New Roman" w:hAnsi="Times New Roman" w:eastAsia="仿宋_GB2312" w:cs="Times New Roman"/>
                <w:sz w:val="28"/>
                <w:szCs w:val="28"/>
                <w:lang w:eastAsia="zh-CN"/>
              </w:rPr>
              <w:t>汤庄—平圩500kV线路工程项目、平圩—空港500KV线路增容工程</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highlight w:val="none"/>
                <w:lang w:eastAsia="zh-CN"/>
              </w:rPr>
              <w:t>潘集汇流站项目</w:t>
            </w:r>
            <w:r>
              <w:rPr>
                <w:rFonts w:hint="default" w:ascii="Times New Roman" w:hAnsi="Times New Roman" w:cs="Times New Roman"/>
                <w:sz w:val="28"/>
                <w:szCs w:val="28"/>
                <w:highlight w:val="none"/>
                <w:lang w:eastAsia="zh-CN"/>
              </w:rPr>
              <w:t>、</w:t>
            </w:r>
            <w:r>
              <w:rPr>
                <w:rFonts w:hint="default" w:ascii="Times New Roman" w:hAnsi="Times New Roman" w:eastAsia="仿宋_GB2312" w:cs="Times New Roman"/>
                <w:sz w:val="28"/>
                <w:szCs w:val="28"/>
                <w:lang w:eastAsia="zh-CN"/>
              </w:rPr>
              <w:t>潘集区农村天然气项目。</w:t>
            </w:r>
          </w:p>
        </w:tc>
      </w:tr>
    </w:tbl>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bookmarkStart w:id="124" w:name="_Toc6620"/>
      <w:r>
        <w:rPr>
          <w:rFonts w:hint="default" w:ascii="Times New Roman" w:hAnsi="Times New Roman" w:eastAsia="黑体" w:cs="Times New Roman"/>
          <w:b w:val="0"/>
          <w:bCs/>
          <w:lang w:val="en-US" w:eastAsia="zh-CN"/>
        </w:rPr>
        <w:t>第三节 构建水利保障体系网</w:t>
      </w:r>
      <w:bookmarkEnd w:id="124"/>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一、加强泥河等水生态修复</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加强涉水空间管控，狠抓重点河流生态保护修复，维持河流生态廊道功能，统筹解决水资源、水生态、水环境、水灾害问题，促进全区经济发展与资源环境相均衡。加强泥河流域等重点生态功能区建设，</w:t>
      </w:r>
      <w:r>
        <w:rPr>
          <w:rFonts w:hint="default" w:ascii="Times New Roman" w:hAnsi="Times New Roman" w:cs="Times New Roman"/>
          <w:highlight w:val="none"/>
          <w:lang w:val="en-US" w:eastAsia="zh-CN"/>
        </w:rPr>
        <w:t>加快实施泥河黑河治理、顾高新河治理、</w:t>
      </w:r>
      <w:r>
        <w:rPr>
          <w:rFonts w:hint="default" w:ascii="Times New Roman" w:hAnsi="Times New Roman" w:cs="Times New Roman"/>
          <w:lang w:val="en-US" w:eastAsia="zh-CN"/>
        </w:rPr>
        <w:t>山水林田湖草生态修复</w:t>
      </w:r>
      <w:r>
        <w:rPr>
          <w:rFonts w:hint="default" w:cs="Times New Roman"/>
          <w:lang w:val="en-US" w:eastAsia="zh-CN"/>
        </w:rPr>
        <w:t>等</w:t>
      </w:r>
      <w:r>
        <w:rPr>
          <w:rFonts w:hint="default" w:ascii="Times New Roman" w:hAnsi="Times New Roman" w:cs="Times New Roman"/>
          <w:lang w:val="en-US" w:eastAsia="zh-CN"/>
        </w:rPr>
        <w:t>项目，推进湿地修复治理，完善湿地保护网络。</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w:t>
      </w:r>
      <w:r>
        <w:rPr>
          <w:rFonts w:hint="default" w:cs="Times New Roman"/>
          <w:lang w:val="en-US" w:eastAsia="zh-CN"/>
        </w:rPr>
        <w:t>加强</w:t>
      </w:r>
      <w:r>
        <w:rPr>
          <w:rFonts w:hint="default" w:ascii="Times New Roman" w:hAnsi="Times New Roman" w:cs="Times New Roman"/>
          <w:lang w:val="en-US" w:eastAsia="zh-CN"/>
        </w:rPr>
        <w:t>水资源利用与农村供水保障</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保护镇域饮用水源，实施净水工程及水环境治理，持续提高袁庄水厂</w:t>
      </w:r>
      <w:r>
        <w:rPr>
          <w:rFonts w:hint="default" w:cs="Times New Roman"/>
          <w:lang w:val="en-US" w:eastAsia="zh-CN"/>
        </w:rPr>
        <w:t>、高平水厂、茨源水厂</w:t>
      </w:r>
      <w:r>
        <w:rPr>
          <w:rFonts w:hint="default" w:ascii="Times New Roman" w:hAnsi="Times New Roman" w:cs="Times New Roman"/>
          <w:lang w:val="en-US" w:eastAsia="zh-CN"/>
        </w:rPr>
        <w:t>饮用水水源地监测能力，推进备用水源</w:t>
      </w:r>
      <w:r>
        <w:rPr>
          <w:rFonts w:hint="default" w:cs="Times New Roman"/>
          <w:lang w:val="en-US" w:eastAsia="zh-CN"/>
        </w:rPr>
        <w:t>地</w:t>
      </w:r>
      <w:r>
        <w:rPr>
          <w:rFonts w:hint="default" w:ascii="Times New Roman" w:hAnsi="Times New Roman" w:cs="Times New Roman"/>
          <w:lang w:val="en-US" w:eastAsia="zh-CN"/>
        </w:rPr>
        <w:t>建设。加强供水设施建设和运行管护，规范开展水源水、出厂水、管网水、末梢水的水质监测，</w:t>
      </w:r>
      <w:r>
        <w:rPr>
          <w:rFonts w:hint="default" w:cs="Times New Roman"/>
          <w:lang w:val="en-US" w:eastAsia="zh-CN"/>
        </w:rPr>
        <w:t>确保</w:t>
      </w:r>
      <w:r>
        <w:rPr>
          <w:rFonts w:hint="default" w:cs="Times New Roman"/>
        </w:rPr>
        <w:t>饮用水水源地水质</w:t>
      </w:r>
      <w:r>
        <w:rPr>
          <w:rFonts w:hint="default" w:cs="Times New Roman"/>
          <w:lang w:val="en-US" w:eastAsia="zh-CN"/>
        </w:rPr>
        <w:t>100%</w:t>
      </w:r>
      <w:r>
        <w:rPr>
          <w:rFonts w:hint="default" w:cs="Times New Roman"/>
        </w:rPr>
        <w:t>达标</w:t>
      </w:r>
      <w:r>
        <w:rPr>
          <w:rFonts w:hint="default" w:ascii="Times New Roman" w:hAnsi="Times New Roman" w:cs="Times New Roman"/>
          <w:lang w:val="en-US" w:eastAsia="zh-CN"/>
        </w:rPr>
        <w:t>。开展城乡供水管网升级改造，实施城乡供水一体化工程，持续提升农村供水保障能力</w:t>
      </w:r>
      <w:r>
        <w:rPr>
          <w:rFonts w:hint="default" w:cs="Times New Roman"/>
          <w:lang w:val="en-US" w:eastAsia="zh-CN"/>
        </w:rPr>
        <w:t>，</w:t>
      </w:r>
      <w:r>
        <w:rPr>
          <w:rFonts w:hint="default" w:ascii="Times New Roman" w:hAnsi="Times New Roman" w:cs="Times New Roman"/>
          <w:lang w:val="en-US" w:eastAsia="zh-CN"/>
        </w:rPr>
        <w:t>推进农村饮水安全工程建设，保障农村居民饮水安全</w:t>
      </w:r>
      <w:r>
        <w:rPr>
          <w:rFonts w:hint="default" w:cs="Times New Roman"/>
          <w:lang w:val="en-US" w:eastAsia="zh-CN"/>
        </w:rPr>
        <w:t>。</w:t>
      </w:r>
      <w:r>
        <w:rPr>
          <w:rFonts w:hint="default" w:ascii="Times New Roman" w:hAnsi="Times New Roman" w:cs="Times New Roman"/>
          <w:lang w:val="en-US" w:eastAsia="zh-CN"/>
        </w:rPr>
        <w:t>加强农村水利设施建设和维护</w:t>
      </w:r>
      <w:r>
        <w:rPr>
          <w:rFonts w:hint="default" w:cs="Times New Roman"/>
          <w:lang w:val="en-US" w:eastAsia="zh-CN"/>
        </w:rPr>
        <w:t>，</w:t>
      </w:r>
      <w:r>
        <w:rPr>
          <w:rFonts w:hint="default" w:ascii="Times New Roman" w:hAnsi="Times New Roman" w:cs="Times New Roman"/>
          <w:lang w:val="en-US" w:eastAsia="zh-CN"/>
        </w:rPr>
        <w:t>完善灌溉供水保障体系，修复和新建灌溉渠道、泵站等</w:t>
      </w:r>
      <w:r>
        <w:rPr>
          <w:rFonts w:hint="default" w:cs="Times New Roman"/>
          <w:lang w:val="en-US" w:eastAsia="zh-CN"/>
        </w:rPr>
        <w:t>，</w:t>
      </w:r>
      <w:r>
        <w:rPr>
          <w:rFonts w:hint="default" w:ascii="Times New Roman" w:hAnsi="Times New Roman" w:cs="Times New Roman"/>
          <w:lang w:val="en-US" w:eastAsia="zh-CN"/>
        </w:rPr>
        <w:t>推进农村水系连通，提高农田灌溉保障能力</w:t>
      </w:r>
      <w:r>
        <w:rPr>
          <w:rFonts w:hint="default" w:cs="Times New Roman"/>
          <w:lang w:val="en-US" w:eastAsia="zh-CN"/>
        </w:rPr>
        <w:t>。</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三、加强水旱灾害防御</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坚持防汛抗旱一起抓，提升水旱灾害防御能力，推进淮河干流峡山口至涡河段行洪区调整和建设工程、利民新河疏浚及利民新河闸除险加固、茨淮新河疏浚、古路岗站防洪闸拆除重建等项目建设，</w:t>
      </w:r>
      <w:r>
        <w:rPr>
          <w:rFonts w:hint="default" w:cs="Times New Roman"/>
          <w:lang w:val="en-US" w:eastAsia="zh-CN"/>
        </w:rPr>
        <w:t>有序</w:t>
      </w:r>
      <w:r>
        <w:rPr>
          <w:rFonts w:hint="default" w:ascii="Times New Roman" w:hAnsi="Times New Roman" w:cs="Times New Roman"/>
          <w:lang w:val="en-US" w:eastAsia="zh-CN"/>
        </w:rPr>
        <w:t>实施淮河、架河防洪治理工程。强化区域内易涝点治理力度，持续完善防洪排涝体系建设，全力争取淮南市潘集区沿淮泵站改造工程项目落地，推进城市排水防涝设施改造。</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四、提升水利信息化水平</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依托淮南市基层防汛预报预警体系、小水库雨水情自动测报系统，升级水情雨情测站以及视频站点，加强防汛通信设施建设，增强通信、报汛的准确性和灵活性。加快推进农村供水服务站信息平台建设，在全区农村水厂安装智能水表和水质在线监测设备，通过饮水安全监控云平台实现供水管网压力、流量的实时监测与故障预警。针对农业重点灌溉区域，在泵站、干渠安装自动化控制设备和计量设施，提高灌溉区水利信息化水平。</w:t>
      </w:r>
    </w:p>
    <w:tbl>
      <w:tblPr>
        <w:tblStyle w:val="1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928" w:type="dxa"/>
            <w:vAlign w:val="top"/>
          </w:tcPr>
          <w:p>
            <w:pPr>
              <w:pStyle w:val="5"/>
              <w:bidi w:val="0"/>
              <w:rPr>
                <w:rFonts w:hint="default" w:ascii="Times New Roman" w:hAnsi="Times New Roman" w:eastAsia="宋体" w:cs="Times New Roman"/>
                <w:b/>
                <w:szCs w:val="28"/>
              </w:rPr>
            </w:pPr>
            <w:bookmarkStart w:id="125" w:name="_Toc30381"/>
            <w:r>
              <w:rPr>
                <w:rFonts w:hint="default" w:cs="Times New Roman"/>
              </w:rPr>
              <w:t>专栏</w:t>
            </w:r>
            <w:r>
              <w:rPr>
                <w:rFonts w:hint="default" w:cs="Times New Roman"/>
                <w:lang w:val="en-US" w:eastAsia="zh-CN"/>
              </w:rPr>
              <w:t>1</w:t>
            </w:r>
            <w:r>
              <w:rPr>
                <w:rFonts w:hint="eastAsia" w:cs="Times New Roman"/>
                <w:lang w:val="en-US" w:eastAsia="zh-CN"/>
              </w:rPr>
              <w:t>1</w:t>
            </w:r>
            <w:r>
              <w:rPr>
                <w:rFonts w:hint="default" w:cs="Times New Roman"/>
              </w:rPr>
              <w:t xml:space="preserve"> 水利</w:t>
            </w:r>
            <w:r>
              <w:rPr>
                <w:rFonts w:hint="default" w:cs="Times New Roman"/>
                <w:lang w:val="en-US" w:eastAsia="zh-CN"/>
              </w:rPr>
              <w:t>设施建设</w:t>
            </w:r>
            <w:r>
              <w:rPr>
                <w:rFonts w:hint="default" w:cs="Times New Roman"/>
              </w:rPr>
              <w:t>重点项目</w:t>
            </w:r>
            <w:bookmarkEnd w:id="1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jc w:val="center"/>
        </w:trPr>
        <w:tc>
          <w:tcPr>
            <w:tcW w:w="8928" w:type="dxa"/>
            <w:vAlign w:val="top"/>
          </w:tcPr>
          <w:p>
            <w:pPr>
              <w:spacing w:after="0" w:line="600" w:lineRule="exact"/>
              <w:ind w:firstLine="562" w:firstLineChars="200"/>
              <w:jc w:val="both"/>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sz w:val="28"/>
                <w:szCs w:val="28"/>
              </w:rPr>
              <w:t>河流治理</w:t>
            </w:r>
            <w:r>
              <w:rPr>
                <w:rFonts w:hint="eastAsia" w:cs="Times New Roman"/>
                <w:b/>
                <w:sz w:val="28"/>
                <w:szCs w:val="28"/>
                <w:lang w:val="en-US" w:eastAsia="zh-CN"/>
              </w:rPr>
              <w:t>项目</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rPr>
              <w:t>茨淮新河治理项目（潘集段）</w:t>
            </w:r>
            <w:r>
              <w:rPr>
                <w:rFonts w:hint="default" w:ascii="Times New Roman" w:hAnsi="Times New Roman" w:eastAsia="仿宋_GB2312" w:cs="Times New Roman"/>
                <w:sz w:val="28"/>
                <w:szCs w:val="28"/>
                <w:lang w:eastAsia="zh-CN"/>
              </w:rPr>
              <w:t>、安徽省淮南市潘集区利民新河治理工程、安徽省淮南市潘集区泥河治理工程、安徽省淮南市潘集区柳河流域治理工程、架河治理</w:t>
            </w:r>
            <w:r>
              <w:rPr>
                <w:rFonts w:hint="default" w:ascii="Times New Roman" w:hAnsi="Times New Roman" w:eastAsia="仿宋_GB2312" w:cs="Times New Roman"/>
                <w:sz w:val="28"/>
                <w:szCs w:val="28"/>
                <w:lang w:val="en-US" w:eastAsia="zh-CN"/>
              </w:rPr>
              <w:t>工程</w:t>
            </w:r>
            <w:r>
              <w:rPr>
                <w:rFonts w:hint="default" w:ascii="Times New Roman" w:hAnsi="Times New Roman" w:eastAsia="仿宋_GB2312" w:cs="Times New Roman"/>
                <w:sz w:val="28"/>
                <w:szCs w:val="28"/>
                <w:lang w:eastAsia="zh-CN"/>
              </w:rPr>
              <w:t>、伊河治理工程。</w:t>
            </w:r>
          </w:p>
          <w:p>
            <w:pPr>
              <w:spacing w:after="0" w:line="600" w:lineRule="exact"/>
              <w:ind w:firstLine="562" w:firstLineChars="200"/>
              <w:jc w:val="both"/>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sz w:val="28"/>
                <w:szCs w:val="28"/>
              </w:rPr>
              <w:t>灌区改造</w:t>
            </w:r>
            <w:r>
              <w:rPr>
                <w:rFonts w:hint="eastAsia" w:cs="Times New Roman"/>
                <w:b/>
                <w:sz w:val="28"/>
                <w:szCs w:val="28"/>
                <w:lang w:val="en-US" w:eastAsia="zh-CN"/>
              </w:rPr>
              <w:t>项目</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lang w:val="en-US" w:eastAsia="zh-CN"/>
              </w:rPr>
              <w:t>潘集区</w:t>
            </w:r>
            <w:r>
              <w:rPr>
                <w:rFonts w:hint="default" w:ascii="Times New Roman" w:hAnsi="Times New Roman" w:eastAsia="仿宋_GB2312" w:cs="Times New Roman"/>
                <w:sz w:val="28"/>
                <w:szCs w:val="28"/>
              </w:rPr>
              <w:t>泥河中型灌区现代化改造项目</w:t>
            </w:r>
            <w:r>
              <w:rPr>
                <w:rFonts w:hint="default" w:ascii="Times New Roman" w:hAnsi="Times New Roman" w:eastAsia="仿宋_GB2312" w:cs="Times New Roman"/>
                <w:sz w:val="28"/>
                <w:szCs w:val="28"/>
                <w:lang w:eastAsia="zh-CN"/>
              </w:rPr>
              <w:t>、茨淮新河灌区古路岗片区续建配套与现代化改造项目、潘集区架河中型灌区现代化改造项目、潘集区祁集中型灌区现代化改造项目、安徽省淮南市潘集区小型灌区续建配套与现代化改造项目。</w:t>
            </w:r>
          </w:p>
          <w:p>
            <w:pPr>
              <w:spacing w:after="0" w:line="600" w:lineRule="exact"/>
              <w:ind w:firstLine="562" w:firstLineChars="200"/>
              <w:jc w:val="both"/>
              <w:rPr>
                <w:rFonts w:hint="default" w:ascii="Times New Roman" w:hAnsi="Times New Roman" w:eastAsia="宋体" w:cs="Times New Roman"/>
                <w:sz w:val="28"/>
                <w:szCs w:val="28"/>
                <w:lang w:val="en-US" w:eastAsia="zh-CN"/>
              </w:rPr>
            </w:pPr>
            <w:r>
              <w:rPr>
                <w:rFonts w:hint="default" w:ascii="Times New Roman" w:hAnsi="Times New Roman" w:eastAsia="仿宋_GB2312" w:cs="Times New Roman"/>
                <w:b/>
                <w:sz w:val="28"/>
                <w:szCs w:val="28"/>
                <w:lang w:val="en-US" w:eastAsia="zh-CN"/>
              </w:rPr>
              <w:t>防洪排涝</w:t>
            </w:r>
            <w:r>
              <w:rPr>
                <w:rFonts w:hint="default" w:ascii="Times New Roman" w:hAnsi="Times New Roman" w:cs="Times New Roman"/>
                <w:b/>
                <w:sz w:val="28"/>
                <w:szCs w:val="28"/>
                <w:lang w:val="en-US" w:eastAsia="zh-CN"/>
              </w:rPr>
              <w:t>体系建设项目</w:t>
            </w:r>
            <w:r>
              <w:rPr>
                <w:rFonts w:hint="default" w:ascii="Times New Roman" w:hAnsi="Times New Roman" w:cs="Times New Roman"/>
                <w:sz w:val="28"/>
                <w:szCs w:val="28"/>
                <w:lang w:val="en-US" w:eastAsia="zh-CN"/>
              </w:rPr>
              <w:t>。</w:t>
            </w:r>
            <w:r>
              <w:rPr>
                <w:rFonts w:hint="default" w:ascii="Times New Roman" w:hAnsi="Times New Roman" w:eastAsia="仿宋_GB2312" w:cs="Times New Roman"/>
                <w:b w:val="0"/>
                <w:bCs w:val="0"/>
                <w:kern w:val="2"/>
                <w:sz w:val="28"/>
                <w:szCs w:val="28"/>
                <w:lang w:val="en-US" w:eastAsia="zh-CN" w:bidi="ar-SA"/>
              </w:rPr>
              <w:t>安徽省淮南市潘集区泥河上游防洪安保工程、</w:t>
            </w:r>
            <w:r>
              <w:rPr>
                <w:rFonts w:hint="default" w:ascii="Times New Roman" w:hAnsi="Times New Roman" w:eastAsia="仿宋_GB2312" w:cs="Times New Roman"/>
                <w:sz w:val="28"/>
                <w:szCs w:val="28"/>
              </w:rPr>
              <w:t>淮河干流峡山口至涡河口段行洪区调整工程（潘集段）</w:t>
            </w:r>
            <w:r>
              <w:rPr>
                <w:rFonts w:hint="default" w:ascii="Times New Roman" w:hAnsi="Times New Roman" w:cs="Times New Roman"/>
                <w:sz w:val="28"/>
                <w:szCs w:val="28"/>
                <w:lang w:eastAsia="zh-CN"/>
              </w:rPr>
              <w:t>、</w:t>
            </w:r>
            <w:r>
              <w:rPr>
                <w:rFonts w:hint="default" w:ascii="Times New Roman" w:hAnsi="Times New Roman" w:eastAsia="仿宋_GB2312" w:cs="Times New Roman"/>
                <w:b w:val="0"/>
                <w:bCs/>
                <w:sz w:val="28"/>
                <w:szCs w:val="28"/>
                <w:lang w:val="en-US" w:eastAsia="zh-CN"/>
              </w:rPr>
              <w:t>潘集区沿淮泵站改造工程</w:t>
            </w:r>
            <w:r>
              <w:rPr>
                <w:rFonts w:hint="default" w:ascii="Times New Roman" w:hAnsi="Times New Roman" w:cs="Times New Roman"/>
                <w:b w:val="0"/>
                <w:bCs/>
                <w:sz w:val="28"/>
                <w:szCs w:val="28"/>
                <w:highlight w:val="none"/>
                <w:lang w:val="en-US" w:eastAsia="zh-CN"/>
              </w:rPr>
              <w:t>、</w:t>
            </w:r>
            <w:r>
              <w:rPr>
                <w:rFonts w:hint="default" w:ascii="Times New Roman" w:hAnsi="Times New Roman" w:eastAsia="仿宋_GB2312" w:cs="Times New Roman"/>
                <w:b w:val="0"/>
                <w:bCs w:val="0"/>
                <w:kern w:val="2"/>
                <w:sz w:val="28"/>
                <w:szCs w:val="28"/>
                <w:highlight w:val="none"/>
                <w:lang w:val="en-US" w:eastAsia="zh-CN" w:bidi="ar-SA"/>
              </w:rPr>
              <w:t>淮南市潘集区现代水网建设工程</w:t>
            </w:r>
            <w:r>
              <w:rPr>
                <w:rFonts w:hint="default" w:cs="Times New Roman"/>
                <w:b w:val="0"/>
                <w:bCs w:val="0"/>
                <w:kern w:val="2"/>
                <w:sz w:val="28"/>
                <w:szCs w:val="28"/>
                <w:highlight w:val="none"/>
                <w:lang w:val="en-US" w:eastAsia="zh-CN" w:bidi="ar-SA"/>
              </w:rPr>
              <w:t>。</w:t>
            </w:r>
          </w:p>
        </w:tc>
      </w:tr>
    </w:tbl>
    <w:p>
      <w:pPr>
        <w:bidi w:val="0"/>
        <w:rPr>
          <w:rFonts w:hint="default" w:ascii="Times New Roman" w:hAnsi="Times New Roman" w:cs="Times New Roman"/>
          <w:lang w:val="en-US" w:eastAsia="zh-CN"/>
        </w:rPr>
      </w:pP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26" w:name="_Toc2954"/>
      <w:r>
        <w:rPr>
          <w:rFonts w:hint="default" w:ascii="Times New Roman" w:hAnsi="Times New Roman" w:eastAsia="黑体" w:cs="Times New Roman"/>
          <w:b w:val="0"/>
          <w:bCs/>
          <w:lang w:val="en-US" w:eastAsia="zh-CN"/>
        </w:rPr>
        <w:t>第四节 构建新型基建体系网</w:t>
      </w:r>
      <w:bookmarkEnd w:id="126"/>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加强光纤宽带提质扩面，推进经开区</w:t>
      </w:r>
      <w:r>
        <w:rPr>
          <w:rFonts w:hint="default" w:cs="Times New Roman"/>
          <w:lang w:val="en-US" w:eastAsia="zh-CN"/>
        </w:rPr>
        <w:t>（北区）</w:t>
      </w:r>
      <w:r>
        <w:rPr>
          <w:rFonts w:hint="default" w:ascii="Times New Roman" w:hAnsi="Times New Roman" w:cs="Times New Roman"/>
          <w:lang w:val="en-US" w:eastAsia="zh-CN"/>
        </w:rPr>
        <w:t>、潘集电厂等重点领域光纤升级，推广千兆乃至万兆光纤宽带接入服务，提升企业数字化生产运营效率。支持城市公用设施、建筑等物联网应用和智能化改造。持续推进智慧交通建设</w:t>
      </w:r>
      <w:r>
        <w:rPr>
          <w:rFonts w:hint="default" w:cs="Times New Roman"/>
          <w:lang w:val="en-US" w:eastAsia="zh-CN"/>
        </w:rPr>
        <w:t>，</w:t>
      </w:r>
      <w:r>
        <w:rPr>
          <w:rFonts w:hint="default" w:ascii="Times New Roman" w:hAnsi="Times New Roman" w:cs="Times New Roman"/>
          <w:lang w:val="en-US" w:eastAsia="zh-CN"/>
        </w:rPr>
        <w:t>加快实现校园5G网络及物联网全覆盖</w:t>
      </w:r>
      <w:r>
        <w:rPr>
          <w:rFonts w:hint="default" w:cs="Times New Roman"/>
          <w:lang w:val="en-US" w:eastAsia="zh-CN"/>
        </w:rPr>
        <w:t>，</w:t>
      </w:r>
      <w:r>
        <w:rPr>
          <w:rFonts w:hint="default" w:ascii="Times New Roman" w:hAnsi="Times New Roman" w:cs="Times New Roman"/>
          <w:lang w:val="en-US" w:eastAsia="zh-CN"/>
        </w:rPr>
        <w:t>加速智慧医疗赋能基层，探索基于大数据的慢性病风险预测模型等应用建设。统筹推进智慧城市、数字医疗、智慧教育、智慧交通等，构建新型基础设施建设体系网。</w:t>
      </w:r>
      <w:r>
        <w:rPr>
          <w:rFonts w:hint="default" w:ascii="Times New Roman" w:hAnsi="Times New Roman" w:cs="Times New Roman"/>
          <w:color w:val="auto"/>
          <w:lang w:val="en-US" w:eastAsia="zh-CN"/>
        </w:rPr>
        <w:t>加快农村通信网络建设，</w:t>
      </w:r>
      <w:r>
        <w:rPr>
          <w:rFonts w:hint="default" w:ascii="Times New Roman" w:hAnsi="Times New Roman" w:cs="Times New Roman"/>
          <w:lang w:val="en-US" w:eastAsia="zh-CN"/>
        </w:rPr>
        <w:t>持续推进5G网络深度向农村偏远地区和重点农业产区深度覆盖，重点加强5G基站建设，提升农村信息化水平。</w:t>
      </w:r>
    </w:p>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2"/>
        <w:keepNext/>
        <w:keepLines/>
        <w:pageBreakBefore w:val="0"/>
        <w:widowControl w:val="0"/>
        <w:tabs>
          <w:tab w:val="left" w:pos="640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简体" w:cs="Times New Roman"/>
          <w:highlight w:val="none"/>
          <w:lang w:val="en-US" w:eastAsia="zh-CN"/>
        </w:rPr>
      </w:pPr>
      <w:bookmarkStart w:id="127" w:name="_Toc9421"/>
      <w:r>
        <w:rPr>
          <w:rFonts w:hint="default" w:ascii="Times New Roman" w:hAnsi="Times New Roman" w:eastAsia="方正小标宋简体" w:cs="Times New Roman"/>
          <w:color w:val="auto"/>
          <w:highlight w:val="none"/>
          <w:lang w:val="en-US" w:eastAsia="zh-CN"/>
        </w:rPr>
        <w:t>第十一章 锚定“双碳”目标，绘就全面绿</w:t>
      </w:r>
      <w:r>
        <w:rPr>
          <w:rFonts w:hint="default" w:ascii="Times New Roman" w:hAnsi="Times New Roman" w:eastAsia="方正小标宋简体" w:cs="Times New Roman"/>
          <w:highlight w:val="none"/>
          <w:lang w:val="en-US" w:eastAsia="zh-CN"/>
        </w:rPr>
        <w:t>色转型新画卷</w:t>
      </w:r>
      <w:bookmarkEnd w:id="127"/>
    </w:p>
    <w:p>
      <w:pPr>
        <w:bidi w:val="0"/>
        <w:rPr>
          <w:rFonts w:hint="default" w:ascii="Times New Roman" w:hAnsi="Times New Roman" w:cs="Times New Roman"/>
          <w:lang w:val="en-US" w:eastAsia="zh-CN"/>
        </w:rPr>
      </w:pPr>
      <w:r>
        <w:rPr>
          <w:rFonts w:hint="eastAsia" w:ascii="Times New Roman" w:hAnsi="Times New Roman" w:cs="Times New Roman"/>
          <w:lang w:val="en-US" w:eastAsia="zh-CN"/>
        </w:rPr>
        <w:t>以</w:t>
      </w:r>
      <w:r>
        <w:rPr>
          <w:rFonts w:hint="default" w:ascii="Times New Roman" w:hAnsi="Times New Roman" w:cs="Times New Roman"/>
          <w:lang w:val="en-US" w:eastAsia="zh-CN"/>
        </w:rPr>
        <w:t>实现碳达峰目标为引领，全面实施绿色低碳转型战略，深化生态文明体制改革，协同推进污染防治和生态修复，实现人与自然和谐共生的现代化</w:t>
      </w:r>
      <w:r>
        <w:rPr>
          <w:rFonts w:hint="default" w:cs="Times New Roman"/>
          <w:lang w:val="en-US" w:eastAsia="zh-CN"/>
        </w:rPr>
        <w:t>，</w:t>
      </w:r>
      <w:r>
        <w:rPr>
          <w:rFonts w:hint="eastAsia" w:ascii="Times New Roman" w:hAnsi="Times New Roman" w:cs="Times New Roman"/>
          <w:lang w:val="en-US" w:eastAsia="zh-CN"/>
        </w:rPr>
        <w:t>全力</w:t>
      </w:r>
      <w:r>
        <w:rPr>
          <w:rFonts w:hint="default" w:cs="Times New Roman"/>
          <w:lang w:val="en-US" w:eastAsia="zh-CN"/>
        </w:rPr>
        <w:t>建设</w:t>
      </w:r>
      <w:r>
        <w:rPr>
          <w:rFonts w:hint="default" w:ascii="Times New Roman" w:hAnsi="Times New Roman" w:cs="Times New Roman"/>
          <w:lang w:val="en-US" w:eastAsia="zh-CN"/>
        </w:rPr>
        <w:t>美丽</w:t>
      </w:r>
      <w:r>
        <w:rPr>
          <w:rFonts w:hint="default" w:cs="Times New Roman"/>
          <w:lang w:val="en-US" w:eastAsia="zh-CN"/>
        </w:rPr>
        <w:t>宜居</w:t>
      </w:r>
      <w:r>
        <w:rPr>
          <w:rFonts w:hint="default" w:ascii="Times New Roman" w:hAnsi="Times New Roman" w:cs="Times New Roman"/>
          <w:lang w:val="en-US" w:eastAsia="zh-CN"/>
        </w:rPr>
        <w:t>潘集。</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28" w:name="_Toc10574"/>
      <w:r>
        <w:rPr>
          <w:rFonts w:hint="default" w:ascii="Times New Roman" w:hAnsi="Times New Roman" w:eastAsia="黑体" w:cs="Times New Roman"/>
          <w:b w:val="0"/>
          <w:bCs/>
          <w:lang w:val="en-US" w:eastAsia="zh-CN"/>
        </w:rPr>
        <w:t>第一节 构建更优国土空间开发保护格局</w:t>
      </w:r>
      <w:bookmarkEnd w:id="128"/>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严格落实上级下达的三条控制线划定及管控要求，树牢国土空间规划底线，科学合理划定落实城镇、农业、生态空间和生态保护红线、永久基本农田、城镇开发边界等“三区三线”，合理控制国土开发强度。建立“重大项目库+耕地保护图”双平台，在国土空间规划“三区三线”框架下，精准谋划耕地保护红线和重大项目用地范围。通过专项规划统筹安排临时用地复垦和补充耕地工作，实现年供地计划与新增耕地指标的动态匹配。摸排耕地后备资源，发挥淮畔集团的作用，融资专项用于耕地恢复，激励乡镇（街道）开展耕地恢复工作，完成年度耕地恢复任务。</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29" w:name="_Toc6495"/>
      <w:r>
        <w:rPr>
          <w:rFonts w:hint="default" w:ascii="Times New Roman" w:hAnsi="Times New Roman" w:eastAsia="黑体" w:cs="Times New Roman"/>
          <w:b w:val="0"/>
          <w:bCs/>
          <w:lang w:val="en-US" w:eastAsia="zh-CN"/>
        </w:rPr>
        <w:t>第二节 推进更大力度采煤沉陷区治理</w:t>
      </w:r>
      <w:bookmarkEnd w:id="129"/>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创新采煤沉陷区治理“</w:t>
      </w:r>
      <w:r>
        <w:rPr>
          <w:rFonts w:hint="eastAsia" w:cs="Times New Roman"/>
          <w:lang w:val="en-US" w:eastAsia="zh-CN"/>
        </w:rPr>
        <w:t>潘集</w:t>
      </w:r>
      <w:r>
        <w:rPr>
          <w:rFonts w:hint="default" w:ascii="Times New Roman" w:hAnsi="Times New Roman" w:cs="Times New Roman"/>
          <w:lang w:val="en-US" w:eastAsia="zh-CN"/>
        </w:rPr>
        <w:t>模式”，持续推行采煤沉陷区综合治理</w:t>
      </w:r>
      <w:r>
        <w:rPr>
          <w:rFonts w:hint="eastAsia" w:cs="Times New Roman"/>
          <w:lang w:val="en-US" w:eastAsia="zh-CN"/>
        </w:rPr>
        <w:t>和生态修复。</w:t>
      </w:r>
      <w:r>
        <w:rPr>
          <w:rFonts w:hint="default" w:ascii="Times New Roman" w:hAnsi="Times New Roman" w:cs="Times New Roman"/>
          <w:lang w:val="en-US" w:eastAsia="zh-CN"/>
        </w:rPr>
        <w:t>提高采煤沉陷区综合治理统筹能力，强化与煤矿企业合作，建立健全各矿山企业与乡镇沟通协调机制，推进采煤沉陷区耕地保护和复垦，结合矿区重要能源保供基地和多煤层重复开采、沉陷深度大等特殊情况，对确无法恢复的耕地，继续争取国家据实核减，协调解决采煤沉陷区耕地保护问题</w:t>
      </w:r>
      <w:r>
        <w:rPr>
          <w:rFonts w:hint="eastAsia" w:cs="Times New Roman"/>
          <w:lang w:val="en-US" w:eastAsia="zh-CN"/>
        </w:rPr>
        <w:t>，</w:t>
      </w:r>
      <w:r>
        <w:rPr>
          <w:rFonts w:hint="default" w:ascii="Times New Roman" w:hAnsi="Times New Roman" w:cs="Times New Roman"/>
          <w:lang w:val="en-US" w:eastAsia="zh-CN"/>
        </w:rPr>
        <w:t>在稳沉后及时治理恢复到可利用状态</w:t>
      </w:r>
      <w:r>
        <w:rPr>
          <w:rFonts w:hint="eastAsia" w:cs="Times New Roman"/>
          <w:lang w:val="en-US" w:eastAsia="zh-CN"/>
        </w:rPr>
        <w:t>，配套完善项目区内的市政基础设施和公共服务设施</w:t>
      </w:r>
      <w:r>
        <w:rPr>
          <w:rFonts w:hint="default" w:ascii="Times New Roman" w:hAnsi="Times New Roman" w:cs="Times New Roman"/>
          <w:lang w:val="en-US" w:eastAsia="zh-CN"/>
        </w:rPr>
        <w:t>。创新采煤沉陷区生态修复方式，探索市场化方式引入社会资本参与生态治理修复</w:t>
      </w:r>
      <w:r>
        <w:rPr>
          <w:rFonts w:hint="eastAsia" w:cs="Times New Roman"/>
          <w:lang w:val="en-US" w:eastAsia="zh-CN"/>
        </w:rPr>
        <w:t>，</w:t>
      </w:r>
      <w:r>
        <w:rPr>
          <w:rFonts w:hint="default" w:ascii="Times New Roman" w:hAnsi="Times New Roman" w:cs="Times New Roman"/>
          <w:lang w:val="en-US" w:eastAsia="zh-CN"/>
        </w:rPr>
        <w:t>优化采煤沉陷区“二级梯度修复”路径，深层区发展光伏+渔业实现“空间再造”，浅层区和稳定区</w:t>
      </w:r>
      <w:r>
        <w:rPr>
          <w:rFonts w:hint="eastAsia" w:cs="Times New Roman"/>
          <w:lang w:val="en-US" w:eastAsia="zh-CN"/>
        </w:rPr>
        <w:t>开展特色农业生产，</w:t>
      </w:r>
      <w:r>
        <w:rPr>
          <w:rFonts w:hint="default" w:ascii="Times New Roman" w:hAnsi="Times New Roman" w:cs="Times New Roman"/>
          <w:lang w:val="en-US" w:eastAsia="zh-CN"/>
        </w:rPr>
        <w:t>大力发展生态农业、文化旅游业，推动沉陷区产业结构升级。加强矿山生态修复宣传工作，利用线上线下多种宣传平台，广泛宣传矿山生态修复的重要意义和典型案例，鼓励群众参与监督、畅通群众监督渠道。</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30" w:name="_Toc17693"/>
      <w:r>
        <w:rPr>
          <w:rFonts w:hint="default" w:ascii="Times New Roman" w:hAnsi="Times New Roman" w:eastAsia="黑体" w:cs="Times New Roman"/>
          <w:b w:val="0"/>
          <w:bCs/>
          <w:lang w:val="en-US" w:eastAsia="zh-CN"/>
        </w:rPr>
        <w:t>第三节 开展更严标准全域减污治污</w:t>
      </w:r>
      <w:bookmarkEnd w:id="130"/>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一、持续深入打好蓝天保卫战</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统筹推进大气污染防治，深入开展扬尘污染防治专项行动，推进煤炭、电力、化工、水泥等重点行业污染治理升级改造，</w:t>
      </w:r>
      <w:r>
        <w:rPr>
          <w:rFonts w:hint="eastAsia" w:ascii="Times New Roman" w:hAnsi="Times New Roman" w:cs="Times New Roman"/>
          <w:lang w:val="en-US" w:eastAsia="zh-CN"/>
        </w:rPr>
        <w:t>推动</w:t>
      </w:r>
      <w:r>
        <w:rPr>
          <w:rFonts w:hint="default" w:ascii="Times New Roman" w:hAnsi="Times New Roman" w:cs="Times New Roman"/>
          <w:lang w:val="en-US" w:eastAsia="zh-CN"/>
        </w:rPr>
        <w:t>煤矸石、粉煤灰、脱硫石膏等固体废弃物</w:t>
      </w:r>
      <w:r>
        <w:rPr>
          <w:rFonts w:hint="eastAsia" w:ascii="Times New Roman" w:hAnsi="Times New Roman" w:cs="Times New Roman"/>
          <w:lang w:val="en-US" w:eastAsia="zh-CN"/>
        </w:rPr>
        <w:t>“变废为宝”</w:t>
      </w:r>
      <w:r>
        <w:rPr>
          <w:rFonts w:hint="default" w:ascii="Times New Roman" w:hAnsi="Times New Roman" w:cs="Times New Roman"/>
          <w:lang w:val="en-US" w:eastAsia="zh-CN"/>
        </w:rPr>
        <w:t>。持续开展VOCs攻坚行动，支持企业开展碳捕集与VOCs协同治理技术攻关。加强秸秆禁烧管控，全面发挥“高空瞭望”平台作用，进一步强化“人防+技防”，推动PM2.5和臭氧浓度双下降、优良天数比例再提升。积极完善和推进清洁审核机制，促进企业节能降耗。</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二、持续深入打好碧水保卫战</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统筹推进水资源保护、水生态修复、水环境治理。扎实开展水污染防治，开展入河排污口专项整治行动，规范入河排污口管理，在重点排污口下游、河流入湖口、支流入干流处等关键节点因地制宜建设人工湿地水质净化工程。持续强化断面管控，加大泥河流域和架河水环境治理，规范沿岸规模化畜禽养殖，确保架河、泥河两个断面水质持续达标。开展淮河环境综合治理，实施清淤疏浚、生态护岸建设，提升水体自然净化能力。常态化开展河湖“清四乱”工作，强化水源地巡查，建立监管排查长效机制。实施城区污水治理三年行动，一体推进城市、农村黑臭水体治理，持续推进重点区域雨污分流改造，统筹污水处理管网建设，进一步完善污水收集系统，因地制宜建设小型污水处理设施。结合现有污水处理设施提标升级扩能改造，系统规划城镇污水再生水调蓄设施，推动实现分质、分对象供水，优水优用。开展区域再生水循环利用试点示范，新建城区合理规划布局再生水管网，有序开展相关建设。加强污水处理设施监管力度，定期开展水质监测，确保污水处理设施达标排放，河流水质持续改善。</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三、持续深入打好净土保卫战</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加强大宗固废源头管控，大力推进产业化利用，加快建设“无废城市”。积极预防水土流失，防止耕地表土损毁和过度利用，严格落实土壤和农产品协同监测，加强农村面源污染控制，健全化肥、农（兽）药等农业投入品减量施用制度，推广测土配方施肥技术，推进畜禽养殖污染治理与废弃物资源化利用。严厉打击涉重金属非法排污企业，切断镉等重金属污染物进入农田的途径，降低镉等重金属超标风险，落实土壤环境日常监管执法。严格农业空间污染防治，分类实施污染耕地修复和种植结构调整，因地制宜建设生态路、生态田埂和农田缓冲带。</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31" w:name="_Toc12290"/>
      <w:r>
        <w:rPr>
          <w:rFonts w:hint="default" w:ascii="Times New Roman" w:hAnsi="Times New Roman" w:eastAsia="黑体" w:cs="Times New Roman"/>
          <w:b w:val="0"/>
          <w:bCs/>
          <w:lang w:val="en-US" w:eastAsia="zh-CN"/>
        </w:rPr>
        <w:t>第四节 统筹更大范围生态保护和修复</w:t>
      </w:r>
      <w:bookmarkEnd w:id="131"/>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深入实施矿山修复与治理，加速推进潘二矿、潘三矿、朱集东矿等矿山恢复治理工程，强化矿山宕口整治和修复，做好废弃矿山项目修复和废弃矿山生态修复项目“回头看”检查工作。引导激励矿山企业积极申报国家级、省级绿色矿山试点单位，开展绿色矿山创建，积极稳妥推进群众货币化补偿工作。推进</w:t>
      </w:r>
      <w:r>
        <w:rPr>
          <w:rFonts w:hint="eastAsia" w:cs="Times New Roman"/>
          <w:lang w:val="en-US" w:eastAsia="zh-CN"/>
        </w:rPr>
        <w:t>水</w:t>
      </w:r>
      <w:r>
        <w:rPr>
          <w:rFonts w:hint="default" w:ascii="Times New Roman" w:hAnsi="Times New Roman" w:cs="Times New Roman"/>
          <w:lang w:val="en-US" w:eastAsia="zh-CN"/>
        </w:rPr>
        <w:t>生态</w:t>
      </w:r>
      <w:r>
        <w:rPr>
          <w:rFonts w:hint="eastAsia" w:cs="Times New Roman"/>
          <w:lang w:val="en-US" w:eastAsia="zh-CN"/>
        </w:rPr>
        <w:t>保护</w:t>
      </w:r>
      <w:r>
        <w:rPr>
          <w:rFonts w:hint="default" w:ascii="Times New Roman" w:hAnsi="Times New Roman" w:cs="Times New Roman"/>
          <w:lang w:val="en-US" w:eastAsia="zh-CN"/>
        </w:rPr>
        <w:t>修复，加强泥河流域等重点生态功能区建设，加快实施泥河黑河治理、顾高新河治理、山水林田湖草生态修复项目，重点保护淮河干流生态廊道，实施架河生态带治理工程，逐步改善城乡水环境质量</w:t>
      </w:r>
      <w:r>
        <w:rPr>
          <w:rFonts w:hint="eastAsia" w:cs="Times New Roman"/>
          <w:lang w:val="en-US" w:eastAsia="zh-CN"/>
        </w:rPr>
        <w:t>。</w:t>
      </w:r>
      <w:r>
        <w:rPr>
          <w:rFonts w:hint="default" w:ascii="Times New Roman" w:hAnsi="Times New Roman" w:cs="Times New Roman"/>
          <w:lang w:val="en-US" w:eastAsia="zh-CN"/>
        </w:rPr>
        <w:t>严格落实河湖长制，全力推动涉河湖领域隐患风险排查整治，强化水资源监管、河湖空间监管、水土保持监管、水利工程建设监管。构建以水土保持、水源涵养、生物多样性为主要生态服务功能的生态安全屏障。强化天然林资源保护，深化新一轮林长制改革，开展人工造林、森林抚育、退化林修复工作，创建省级绿美村庄</w:t>
      </w:r>
      <w:r>
        <w:rPr>
          <w:rFonts w:hint="eastAsia" w:cs="Times New Roman"/>
          <w:lang w:val="en-US" w:eastAsia="zh-CN"/>
        </w:rPr>
        <w:t>，巩固和增强生态系统碳汇能力，科学防控各类病虫害。加强生物安全管理，防治外来物种侵害。</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32" w:name="_Toc16161"/>
      <w:r>
        <w:rPr>
          <w:rFonts w:hint="default" w:ascii="Times New Roman" w:hAnsi="Times New Roman" w:eastAsia="黑体" w:cs="Times New Roman"/>
          <w:b w:val="0"/>
          <w:bCs/>
          <w:lang w:val="en-US" w:eastAsia="zh-CN"/>
        </w:rPr>
        <w:t>第五节 实施更深层次节能降碳减排</w:t>
      </w:r>
      <w:bookmarkEnd w:id="132"/>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一、推进生产方式绿色转型</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推动传统产业绿色低碳改造升级，推进煤系固废物利用产业发展，推广清洁生产工艺和技术，提高水资源、工业废弃物、余压余热等资源综合利用水平</w:t>
      </w:r>
      <w:r>
        <w:rPr>
          <w:rFonts w:hint="eastAsia" w:cs="Times New Roman"/>
          <w:lang w:val="en-US" w:eastAsia="zh-CN"/>
        </w:rPr>
        <w:t>，</w:t>
      </w:r>
      <w:r>
        <w:rPr>
          <w:rFonts w:hint="default" w:ascii="Times New Roman" w:hAnsi="Times New Roman" w:cs="Times New Roman"/>
          <w:lang w:val="en-US" w:eastAsia="zh-CN"/>
        </w:rPr>
        <w:t>形成绿色循环经济产业体系</w:t>
      </w:r>
      <w:r>
        <w:rPr>
          <w:rFonts w:hint="default" w:cs="Times New Roman"/>
          <w:lang w:val="en-US" w:eastAsia="zh-CN"/>
        </w:rPr>
        <w:t>。</w:t>
      </w:r>
      <w:r>
        <w:rPr>
          <w:rFonts w:hint="default" w:ascii="Times New Roman" w:hAnsi="Times New Roman" w:cs="Times New Roman"/>
          <w:lang w:val="en-US" w:eastAsia="zh-CN"/>
        </w:rPr>
        <w:t>加快农业绿色转型发展，提高服务业绿色发展水平，壮大绿色环保产业，提升产业园区和产业集群循环化水平</w:t>
      </w:r>
      <w:r>
        <w:rPr>
          <w:rFonts w:hint="default" w:cs="Times New Roman"/>
          <w:lang w:val="en-US" w:eastAsia="zh-CN"/>
        </w:rPr>
        <w:t>。</w:t>
      </w:r>
      <w:r>
        <w:rPr>
          <w:rFonts w:hint="default" w:ascii="Times New Roman" w:hAnsi="Times New Roman" w:cs="Times New Roman"/>
          <w:lang w:val="en-US" w:eastAsia="zh-CN"/>
        </w:rPr>
        <w:t>开展重点行业、企业节能减排绿色低碳行动，深化“一企一策”</w:t>
      </w:r>
      <w:r>
        <w:rPr>
          <w:rFonts w:hint="eastAsia" w:cs="Times New Roman"/>
          <w:lang w:val="en-US" w:eastAsia="zh-CN"/>
        </w:rPr>
        <w:t>“一园一策”</w:t>
      </w:r>
      <w:r>
        <w:rPr>
          <w:rFonts w:hint="default" w:ascii="Times New Roman" w:hAnsi="Times New Roman" w:cs="Times New Roman"/>
          <w:lang w:val="en-US" w:eastAsia="zh-CN"/>
        </w:rPr>
        <w:t>节能降碳升级改造</w:t>
      </w:r>
      <w:r>
        <w:rPr>
          <w:rFonts w:hint="default" w:cs="Times New Roman"/>
          <w:lang w:val="en-US" w:eastAsia="zh-CN"/>
        </w:rPr>
        <w:t>，</w:t>
      </w:r>
      <w:r>
        <w:rPr>
          <w:rFonts w:hint="default" w:ascii="Times New Roman" w:hAnsi="Times New Roman" w:cs="Times New Roman"/>
          <w:lang w:val="en-US" w:eastAsia="zh-CN"/>
        </w:rPr>
        <w:t>建设</w:t>
      </w:r>
      <w:r>
        <w:rPr>
          <w:rFonts w:hint="default" w:cs="Times New Roman"/>
          <w:lang w:val="en-US" w:eastAsia="zh-CN"/>
        </w:rPr>
        <w:t>一批</w:t>
      </w:r>
      <w:r>
        <w:rPr>
          <w:rFonts w:hint="default" w:ascii="Times New Roman" w:hAnsi="Times New Roman" w:cs="Times New Roman"/>
          <w:lang w:val="en-US" w:eastAsia="zh-CN"/>
        </w:rPr>
        <w:t>绿色工厂</w:t>
      </w:r>
      <w:r>
        <w:rPr>
          <w:rFonts w:hint="eastAsia" w:cs="Times New Roman"/>
          <w:lang w:val="en-US" w:eastAsia="zh-CN"/>
        </w:rPr>
        <w:t>、绿色园区</w:t>
      </w:r>
      <w:r>
        <w:rPr>
          <w:rFonts w:hint="default" w:ascii="Times New Roman" w:hAnsi="Times New Roman" w:cs="Times New Roman"/>
          <w:lang w:val="en-US" w:eastAsia="zh-CN"/>
        </w:rPr>
        <w:t>，推广源头减量、循环利用、再制造和产业链接等技术，增强企业绿色制造能力。设立煤化工绿色转型专项基金。从严抓好固定资产投资项目节能审查，做实重点项目用能保障。</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二、布局可再生能源和清洁能源</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深入实施碳达峰</w:t>
      </w:r>
      <w:r>
        <w:rPr>
          <w:rFonts w:hint="eastAsia" w:ascii="Times New Roman" w:hAnsi="Times New Roman" w:cs="Times New Roman"/>
          <w:lang w:val="en-US" w:eastAsia="zh-CN"/>
        </w:rPr>
        <w:t>行动</w:t>
      </w:r>
      <w:r>
        <w:rPr>
          <w:rFonts w:hint="default" w:ascii="Times New Roman" w:hAnsi="Times New Roman" w:cs="Times New Roman"/>
          <w:lang w:val="en-US" w:eastAsia="zh-CN"/>
        </w:rPr>
        <w:t>，严格按照时间表、路线图，明确年度节能降碳目标任务，完善能源消耗总量和强度调控，严格执行煤炭消费减量替代制度</w:t>
      </w:r>
      <w:r>
        <w:rPr>
          <w:rFonts w:hint="eastAsia" w:cs="Times New Roman"/>
          <w:lang w:val="en-US" w:eastAsia="zh-CN"/>
        </w:rPr>
        <w:t>。</w:t>
      </w:r>
      <w:r>
        <w:rPr>
          <w:rFonts w:hint="default" w:ascii="Times New Roman" w:hAnsi="Times New Roman" w:cs="Times New Roman"/>
          <w:lang w:val="en-US" w:eastAsia="zh-CN"/>
        </w:rPr>
        <w:t>扎实推进煤电低碳化改造建设</w:t>
      </w:r>
      <w:r>
        <w:rPr>
          <w:rFonts w:hint="eastAsia" w:cs="Times New Roman"/>
          <w:lang w:val="en-US" w:eastAsia="zh-CN"/>
        </w:rPr>
        <w:t>，</w:t>
      </w:r>
      <w:r>
        <w:rPr>
          <w:rFonts w:hint="default" w:ascii="Times New Roman" w:hAnsi="Times New Roman" w:cs="Times New Roman"/>
          <w:lang w:val="en-US" w:eastAsia="zh-CN"/>
        </w:rPr>
        <w:t>加强</w:t>
      </w:r>
      <w:r>
        <w:rPr>
          <w:rFonts w:hint="eastAsia" w:cs="Times New Roman"/>
          <w:lang w:val="en-US" w:eastAsia="zh-CN"/>
        </w:rPr>
        <w:t>煤炭</w:t>
      </w:r>
      <w:r>
        <w:rPr>
          <w:rFonts w:hint="default" w:ascii="Times New Roman" w:hAnsi="Times New Roman" w:cs="Times New Roman"/>
          <w:lang w:val="en-US" w:eastAsia="zh-CN"/>
        </w:rPr>
        <w:t>清洁高效利用，加快现役煤电机组节能降碳改造、灵活性改造、供热改造“三改联动”和工业炉窑清洁能源替代</w:t>
      </w:r>
      <w:r>
        <w:rPr>
          <w:rFonts w:hint="eastAsia" w:cs="Times New Roman"/>
          <w:lang w:val="en-US" w:eastAsia="zh-CN"/>
        </w:rPr>
        <w:t>，有序推进光伏、风电项目的建设，</w:t>
      </w:r>
      <w:r>
        <w:rPr>
          <w:rFonts w:hint="default" w:ascii="Times New Roman" w:hAnsi="Times New Roman" w:cs="Times New Roman"/>
          <w:lang w:val="en-US" w:eastAsia="zh-CN"/>
        </w:rPr>
        <w:t>充分利用沉陷区水面资源和特高压上网通道优势，布局采煤沉陷区风光储氢一体化项目，持续推进采煤沉陷区一、二期300MW光伏发电项目，实现“清洁高效煤电+新能源”基地化建设</w:t>
      </w:r>
      <w:r>
        <w:rPr>
          <w:rFonts w:hint="eastAsia" w:cs="Times New Roman"/>
          <w:lang w:val="en-US" w:eastAsia="zh-CN"/>
        </w:rPr>
        <w:t>，提升等新能源和清洁能源装机在全区发电装机的比重。</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三、引导生活方式绿色转型</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深入开展节约型机关、绿色社区、绿色出行等绿色生活创建行动，积极推广绿色建材应用，推进建筑光伏一体化建设</w:t>
      </w:r>
      <w:r>
        <w:rPr>
          <w:rFonts w:hint="eastAsia" w:cs="Times New Roman"/>
          <w:lang w:val="en-US" w:eastAsia="zh-CN"/>
        </w:rPr>
        <w:t>，</w:t>
      </w:r>
      <w:r>
        <w:rPr>
          <w:rFonts w:hint="default" w:ascii="Times New Roman" w:hAnsi="Times New Roman" w:cs="Times New Roman"/>
          <w:lang w:val="en-US" w:eastAsia="zh-CN"/>
        </w:rPr>
        <w:t>大力发展绿色金融。大力倡导绿色低碳生活方式，鼓励绿色出行、节能环保，践行“光盘行动”，加快新能倡导源汽车推广应用，运营好交通换乘中心和交通驿站，积极构建清洁运输体系。强化生活垃圾分类回收利用，拓展绿色低碳宣传教育的广度和深度，创建一批绿色家庭、绿色社区、绿色学校等示范试点，形成崇尚生态文明的社会氛围。</w:t>
      </w:r>
    </w:p>
    <w:tbl>
      <w:tblPr>
        <w:tblStyle w:val="13"/>
        <w:tblpPr w:leftFromText="180" w:rightFromText="180" w:vertAnchor="text" w:tblpXSpec="lef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8460" w:type="dxa"/>
            <w:vAlign w:val="top"/>
          </w:tcPr>
          <w:p>
            <w:pPr>
              <w:pStyle w:val="5"/>
              <w:bidi w:val="0"/>
              <w:rPr>
                <w:rFonts w:hint="default" w:ascii="Times New Roman" w:hAnsi="Times New Roman" w:eastAsia="宋体" w:cs="Times New Roman"/>
                <w:b/>
                <w:bCs/>
                <w:color w:val="auto"/>
                <w:szCs w:val="28"/>
              </w:rPr>
            </w:pPr>
            <w:bookmarkStart w:id="133" w:name="_Toc28679"/>
            <w:r>
              <w:rPr>
                <w:rFonts w:hint="default" w:cs="Times New Roman"/>
              </w:rPr>
              <w:t>专栏</w:t>
            </w:r>
            <w:r>
              <w:rPr>
                <w:rFonts w:hint="default" w:cs="Times New Roman"/>
                <w:lang w:val="en-US" w:eastAsia="zh-CN"/>
              </w:rPr>
              <w:t>12</w:t>
            </w:r>
            <w:r>
              <w:rPr>
                <w:rFonts w:hint="default" w:cs="Times New Roman"/>
              </w:rPr>
              <w:t xml:space="preserve"> </w:t>
            </w:r>
            <w:r>
              <w:rPr>
                <w:rFonts w:hint="default" w:cs="Times New Roman"/>
                <w:lang w:val="en-US" w:eastAsia="zh-CN"/>
              </w:rPr>
              <w:t>生态环境保护与修复</w:t>
            </w:r>
            <w:r>
              <w:rPr>
                <w:rFonts w:hint="default" w:cs="Times New Roman"/>
              </w:rPr>
              <w:t>重点项目</w:t>
            </w:r>
            <w:bookmarkEnd w:id="1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8460" w:type="dxa"/>
            <w:vAlign w:val="top"/>
          </w:tcPr>
          <w:p>
            <w:pPr>
              <w:keepNext w:val="0"/>
              <w:keepLines w:val="0"/>
              <w:pageBreakBefore w:val="0"/>
              <w:widowControl w:val="0"/>
              <w:kinsoku/>
              <w:wordWrap/>
              <w:overflowPunct/>
              <w:topLinePunct w:val="0"/>
              <w:autoSpaceDE/>
              <w:autoSpaceDN/>
              <w:bidi w:val="0"/>
              <w:adjustRightInd w:val="0"/>
              <w:snapToGrid w:val="0"/>
              <w:spacing w:after="0" w:line="600" w:lineRule="exact"/>
              <w:ind w:firstLine="562" w:firstLineChars="200"/>
              <w:jc w:val="both"/>
              <w:textAlignment w:val="auto"/>
              <w:rPr>
                <w:rFonts w:hint="default" w:ascii="Times New Roman" w:hAnsi="Times New Roman" w:eastAsia="仿宋_GB2312" w:cs="Times New Roman"/>
                <w:b/>
                <w:color w:val="auto"/>
                <w:sz w:val="28"/>
                <w:szCs w:val="28"/>
                <w:highlight w:val="yellow"/>
                <w:lang w:val="en-US" w:eastAsia="zh-CN"/>
              </w:rPr>
            </w:pPr>
            <w:r>
              <w:rPr>
                <w:rFonts w:hint="default" w:ascii="Times New Roman" w:hAnsi="Times New Roman" w:eastAsia="仿宋_GB2312" w:cs="Times New Roman"/>
                <w:b/>
                <w:color w:val="auto"/>
                <w:sz w:val="28"/>
                <w:szCs w:val="28"/>
                <w:highlight w:val="none"/>
                <w:lang w:val="en-US" w:eastAsia="zh-CN"/>
              </w:rPr>
              <w:t>生态治理</w:t>
            </w:r>
            <w:r>
              <w:rPr>
                <w:rFonts w:hint="eastAsia" w:cs="Times New Roman"/>
                <w:b/>
                <w:color w:val="auto"/>
                <w:sz w:val="28"/>
                <w:szCs w:val="28"/>
                <w:highlight w:val="none"/>
                <w:lang w:val="en-US" w:eastAsia="zh-CN"/>
              </w:rPr>
              <w:t>项目</w:t>
            </w:r>
            <w:r>
              <w:rPr>
                <w:rFonts w:hint="default" w:ascii="Times New Roman" w:hAnsi="Times New Roman" w:cs="Times New Roman"/>
                <w:b/>
                <w:color w:val="auto"/>
                <w:sz w:val="28"/>
                <w:szCs w:val="28"/>
                <w:highlight w:val="none"/>
                <w:lang w:val="en-US" w:eastAsia="zh-CN"/>
              </w:rPr>
              <w:t>。</w:t>
            </w:r>
            <w:r>
              <w:rPr>
                <w:rFonts w:hint="default" w:ascii="Times New Roman" w:hAnsi="Times New Roman" w:eastAsia="仿宋_GB2312" w:cs="Times New Roman"/>
                <w:color w:val="auto"/>
                <w:sz w:val="28"/>
                <w:szCs w:val="28"/>
                <w:highlight w:val="none"/>
              </w:rPr>
              <w:t>潘集区泥河（潘三</w:t>
            </w:r>
            <w:r>
              <w:rPr>
                <w:rFonts w:hint="default"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rPr>
              <w:t>城区）及附属水系水环境综合治理项目</w:t>
            </w:r>
            <w:r>
              <w:rPr>
                <w:rFonts w:hint="default" w:ascii="Times New Roman" w:hAnsi="Times New Roman" w:eastAsia="仿宋_GB2312" w:cs="Times New Roman"/>
                <w:color w:val="auto"/>
                <w:sz w:val="28"/>
                <w:szCs w:val="28"/>
                <w:highlight w:val="none"/>
                <w:lang w:eastAsia="zh-CN"/>
              </w:rPr>
              <w:t>、淮南市潘集区泥河流域生态治理产业融合项目、潘集区全域土地治理项目。</w:t>
            </w:r>
          </w:p>
          <w:p>
            <w:pPr>
              <w:keepNext w:val="0"/>
              <w:keepLines w:val="0"/>
              <w:pageBreakBefore w:val="0"/>
              <w:widowControl w:val="0"/>
              <w:kinsoku/>
              <w:wordWrap/>
              <w:overflowPunct/>
              <w:topLinePunct w:val="0"/>
              <w:autoSpaceDE/>
              <w:autoSpaceDN/>
              <w:bidi w:val="0"/>
              <w:adjustRightInd w:val="0"/>
              <w:snapToGrid w:val="0"/>
              <w:spacing w:after="0" w:line="600" w:lineRule="exact"/>
              <w:ind w:firstLine="562" w:firstLineChars="200"/>
              <w:jc w:val="both"/>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cs="Times New Roman"/>
                <w:b/>
                <w:bCs/>
                <w:color w:val="auto"/>
                <w:sz w:val="28"/>
                <w:szCs w:val="28"/>
                <w:highlight w:val="none"/>
                <w:lang w:val="en-US" w:eastAsia="zh-CN"/>
              </w:rPr>
              <w:t>固废处理项目。</w:t>
            </w:r>
            <w:r>
              <w:rPr>
                <w:rFonts w:hint="default" w:ascii="Times New Roman" w:hAnsi="Times New Roman" w:eastAsia="仿宋_GB2312" w:cs="Times New Roman"/>
                <w:color w:val="auto"/>
                <w:sz w:val="28"/>
                <w:szCs w:val="28"/>
                <w:highlight w:val="none"/>
                <w:lang w:eastAsia="zh-CN"/>
              </w:rPr>
              <w:t>潘集区建筑装潢垃圾综合利用项目</w:t>
            </w:r>
            <w:r>
              <w:rPr>
                <w:rFonts w:hint="default" w:ascii="Times New Roman" w:hAnsi="Times New Roman"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eastAsia="zh-CN"/>
              </w:rPr>
              <w:t>潘集区固体废物处置分拣综合利用中心项目</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000000" w:themeColor="text1"/>
                <w:kern w:val="0"/>
                <w:sz w:val="28"/>
                <w:szCs w:val="28"/>
                <w:highlight w:val="none"/>
                <w14:textFill>
                  <w14:solidFill>
                    <w14:schemeClr w14:val="tx1"/>
                  </w14:solidFill>
                </w14:textFill>
              </w:rPr>
              <w:t>潘集区垃圾分类与再生资源回收“两网融合”</w:t>
            </w:r>
            <w:r>
              <w:rPr>
                <w:rFonts w:hint="default" w:ascii="Times New Roman" w:hAnsi="Times New Roman"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cs="Times New Roman"/>
                <w:color w:val="000000" w:themeColor="text1"/>
                <w:kern w:val="0"/>
                <w:sz w:val="28"/>
                <w:szCs w:val="28"/>
                <w:highlight w:val="none"/>
                <w14:textFill>
                  <w14:solidFill>
                    <w14:schemeClr w14:val="tx1"/>
                  </w14:solidFill>
                </w14:textFill>
              </w:rPr>
              <w:t>高皇镇垃圾处理厂建设项目</w:t>
            </w:r>
            <w:r>
              <w:rPr>
                <w:rFonts w:hint="default" w:ascii="Times New Roman" w:hAnsi="Times New Roman" w:eastAsia="仿宋_GB2312" w:cs="Times New Roman"/>
                <w:color w:val="auto"/>
                <w:sz w:val="28"/>
                <w:szCs w:val="28"/>
                <w:highlight w:val="none"/>
                <w:lang w:eastAsia="zh-CN"/>
              </w:rPr>
              <w:t>。</w:t>
            </w:r>
          </w:p>
          <w:p>
            <w:pPr>
              <w:keepNext w:val="0"/>
              <w:keepLines w:val="0"/>
              <w:pageBreakBefore w:val="0"/>
              <w:widowControl w:val="0"/>
              <w:kinsoku/>
              <w:wordWrap/>
              <w:overflowPunct/>
              <w:topLinePunct w:val="0"/>
              <w:autoSpaceDE/>
              <w:autoSpaceDN/>
              <w:bidi w:val="0"/>
              <w:spacing w:after="0" w:line="600" w:lineRule="exact"/>
              <w:ind w:firstLine="562" w:firstLineChars="200"/>
              <w:jc w:val="both"/>
              <w:textAlignment w:val="auto"/>
              <w:rPr>
                <w:rFonts w:hint="default" w:ascii="Times New Roman" w:hAnsi="Times New Roman" w:eastAsia="仿宋_GB2312" w:cs="Times New Roman"/>
                <w:b/>
                <w:color w:val="auto"/>
                <w:sz w:val="28"/>
                <w:szCs w:val="28"/>
                <w:lang w:val="en-US" w:eastAsia="zh-CN"/>
              </w:rPr>
            </w:pPr>
            <w:r>
              <w:rPr>
                <w:rFonts w:hint="default" w:ascii="Times New Roman" w:hAnsi="Times New Roman" w:eastAsia="仿宋_GB2312" w:cs="Times New Roman"/>
                <w:b/>
                <w:color w:val="auto"/>
                <w:sz w:val="28"/>
                <w:szCs w:val="28"/>
                <w:lang w:val="en-US" w:eastAsia="zh-CN"/>
              </w:rPr>
              <w:t>生态修复</w:t>
            </w:r>
            <w:r>
              <w:rPr>
                <w:rFonts w:hint="eastAsia" w:cs="Times New Roman"/>
                <w:b/>
                <w:color w:val="auto"/>
                <w:sz w:val="28"/>
                <w:szCs w:val="28"/>
                <w:lang w:val="en-US" w:eastAsia="zh-CN"/>
              </w:rPr>
              <w:t>项目</w:t>
            </w:r>
            <w:r>
              <w:rPr>
                <w:rFonts w:hint="default" w:ascii="Times New Roman" w:hAnsi="Times New Roman" w:cs="Times New Roman"/>
                <w:b/>
                <w:color w:val="auto"/>
                <w:sz w:val="28"/>
                <w:szCs w:val="28"/>
                <w:lang w:eastAsia="zh-CN"/>
              </w:rPr>
              <w:t>。</w:t>
            </w:r>
            <w:r>
              <w:rPr>
                <w:rFonts w:hint="default" w:ascii="Times New Roman" w:hAnsi="Times New Roman" w:eastAsia="仿宋_GB2312" w:cs="Times New Roman"/>
                <w:color w:val="auto"/>
                <w:sz w:val="28"/>
                <w:szCs w:val="28"/>
              </w:rPr>
              <w:t>潘集区补充耕地和恢复耕地项目</w:t>
            </w:r>
            <w:r>
              <w:rPr>
                <w:rFonts w:hint="default" w:ascii="Times New Roman" w:hAnsi="Times New Roman" w:eastAsia="仿宋_GB2312" w:cs="Times New Roman"/>
                <w:color w:val="auto"/>
                <w:sz w:val="28"/>
                <w:szCs w:val="28"/>
                <w:lang w:eastAsia="zh-CN"/>
              </w:rPr>
              <w:t>、潘二煤矿潘四东区西翼停采区生态修复+“进出平衡”示范项目、淮南市潘集区架河镇淮河北岸架河流域（架河镇）水生态修复项目、淮南市泥河流域（平圩高皇段）水生态保护修复项目、淮南潘集重大项目临时用地管控耕地保护及土地资源综合利用项目。</w:t>
            </w:r>
          </w:p>
          <w:p>
            <w:pPr>
              <w:keepNext w:val="0"/>
              <w:keepLines w:val="0"/>
              <w:pageBreakBefore w:val="0"/>
              <w:widowControl w:val="0"/>
              <w:kinsoku/>
              <w:wordWrap/>
              <w:overflowPunct/>
              <w:topLinePunct w:val="0"/>
              <w:autoSpaceDE/>
              <w:autoSpaceDN/>
              <w:bidi w:val="0"/>
              <w:adjustRightInd w:val="0"/>
              <w:snapToGrid w:val="0"/>
              <w:spacing w:after="0" w:line="600" w:lineRule="exact"/>
              <w:ind w:firstLine="562" w:firstLineChars="200"/>
              <w:jc w:val="both"/>
              <w:textAlignment w:val="auto"/>
              <w:rPr>
                <w:rFonts w:hint="default" w:ascii="Times New Roman" w:hAnsi="Times New Roman" w:cs="Times New Roman"/>
                <w:lang w:val="en-US"/>
              </w:rPr>
            </w:pPr>
            <w:r>
              <w:rPr>
                <w:rFonts w:hint="default" w:ascii="Times New Roman" w:hAnsi="Times New Roman" w:eastAsia="仿宋_GB2312" w:cs="Times New Roman"/>
                <w:b/>
                <w:color w:val="auto"/>
                <w:sz w:val="28"/>
                <w:szCs w:val="28"/>
                <w:lang w:val="en-US" w:eastAsia="zh-CN"/>
              </w:rPr>
              <w:t>采煤沉陷区</w:t>
            </w:r>
            <w:r>
              <w:rPr>
                <w:rFonts w:hint="default" w:ascii="Times New Roman" w:hAnsi="Times New Roman" w:cs="Times New Roman"/>
                <w:b/>
                <w:color w:val="auto"/>
                <w:sz w:val="28"/>
                <w:szCs w:val="28"/>
                <w:lang w:val="en-US" w:eastAsia="zh-CN"/>
              </w:rPr>
              <w:t>综合治理</w:t>
            </w:r>
            <w:r>
              <w:rPr>
                <w:rFonts w:hint="eastAsia" w:cs="Times New Roman"/>
                <w:b/>
                <w:color w:val="auto"/>
                <w:sz w:val="28"/>
                <w:szCs w:val="28"/>
                <w:lang w:val="en-US" w:eastAsia="zh-CN"/>
              </w:rPr>
              <w:t>项目</w:t>
            </w:r>
            <w:r>
              <w:rPr>
                <w:rFonts w:hint="default" w:ascii="Times New Roman" w:hAnsi="Times New Roman" w:cs="Times New Roman"/>
                <w:b/>
                <w:color w:val="auto"/>
                <w:sz w:val="28"/>
                <w:szCs w:val="28"/>
                <w:lang w:eastAsia="zh-CN"/>
              </w:rPr>
              <w:t>。</w:t>
            </w:r>
            <w:r>
              <w:rPr>
                <w:rFonts w:hint="default" w:ascii="Times New Roman" w:hAnsi="Times New Roman" w:eastAsia="仿宋_GB2312" w:cs="Times New Roman"/>
                <w:color w:val="auto"/>
                <w:sz w:val="28"/>
                <w:szCs w:val="28"/>
                <w:lang w:val="en-US" w:eastAsia="zh-CN"/>
              </w:rPr>
              <w:t>潘集采煤沉陷区及沿淮生态治理和土地资源综合利用项目、潘三煤矿潘集一期</w:t>
            </w:r>
            <w:r>
              <w:rPr>
                <w:rFonts w:hint="default" w:ascii="Times New Roman" w:hAnsi="Times New Roman" w:cs="Times New Roman"/>
                <w:color w:val="auto"/>
                <w:sz w:val="28"/>
                <w:szCs w:val="28"/>
                <w:lang w:val="en-US" w:eastAsia="zh-CN"/>
              </w:rPr>
              <w:t>及二期</w:t>
            </w:r>
            <w:r>
              <w:rPr>
                <w:rFonts w:hint="default" w:ascii="Times New Roman" w:hAnsi="Times New Roman" w:eastAsia="仿宋_GB2312" w:cs="Times New Roman"/>
                <w:color w:val="auto"/>
                <w:sz w:val="28"/>
                <w:szCs w:val="28"/>
                <w:lang w:val="en-US" w:eastAsia="zh-CN"/>
              </w:rPr>
              <w:t>采煤沉陷区综合治理项目、</w:t>
            </w:r>
            <w:r>
              <w:rPr>
                <w:rFonts w:hint="default" w:ascii="Times New Roman" w:hAnsi="Times New Roman" w:eastAsia="仿宋_GB2312" w:cs="Times New Roman"/>
                <w:sz w:val="28"/>
                <w:szCs w:val="28"/>
                <w:lang w:val="en-US" w:eastAsia="zh-CN"/>
              </w:rPr>
              <w:t>采煤沉陷区水系连通工程</w:t>
            </w:r>
            <w:r>
              <w:rPr>
                <w:rFonts w:hint="default" w:ascii="Times New Roman" w:hAnsi="Times New Roman" w:cs="Times New Roman"/>
                <w:sz w:val="28"/>
                <w:szCs w:val="28"/>
                <w:lang w:val="en-US" w:eastAsia="zh-CN"/>
              </w:rPr>
              <w:t>、采煤沉陷区综合治理（地热资源综合利用）项目</w:t>
            </w:r>
            <w:r>
              <w:rPr>
                <w:rFonts w:hint="default" w:ascii="Times New Roman" w:hAnsi="Times New Roman" w:eastAsia="仿宋_GB2312" w:cs="Times New Roman"/>
                <w:sz w:val="28"/>
                <w:szCs w:val="28"/>
                <w:lang w:val="en-US" w:eastAsia="zh-CN"/>
              </w:rPr>
              <w:t>。</w:t>
            </w:r>
          </w:p>
        </w:tc>
      </w:tr>
    </w:tbl>
    <w:p>
      <w:pPr>
        <w:bidi w:val="0"/>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2"/>
        <w:keepNext/>
        <w:keepLines/>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Times New Roman" w:hAnsi="Times New Roman" w:eastAsia="方正小标宋简体" w:cs="Times New Roman"/>
          <w:highlight w:val="none"/>
          <w:lang w:val="en-US" w:eastAsia="zh-CN"/>
        </w:rPr>
      </w:pPr>
      <w:bookmarkStart w:id="134" w:name="_Toc5068"/>
      <w:r>
        <w:rPr>
          <w:rFonts w:hint="default" w:ascii="Times New Roman" w:hAnsi="Times New Roman" w:eastAsia="方正小标宋简体" w:cs="Times New Roman"/>
          <w:highlight w:val="none"/>
          <w:lang w:val="en-US" w:eastAsia="zh-CN"/>
        </w:rPr>
        <w:t>第十二章 坚持“投资于人”，</w:t>
      </w:r>
      <w:r>
        <w:rPr>
          <w:rFonts w:hint="default" w:ascii="Times New Roman" w:hAnsi="Times New Roman" w:eastAsia="方正小标宋简体" w:cs="Times New Roman"/>
          <w:color w:val="auto"/>
          <w:highlight w:val="none"/>
          <w:lang w:val="en-US" w:eastAsia="zh-CN"/>
        </w:rPr>
        <w:t>建设幸福美满</w:t>
      </w:r>
      <w:r>
        <w:rPr>
          <w:rFonts w:hint="default" w:ascii="Times New Roman" w:hAnsi="Times New Roman" w:eastAsia="方正小标宋简体" w:cs="Times New Roman"/>
          <w:highlight w:val="none"/>
          <w:lang w:val="en-US" w:eastAsia="zh-CN"/>
        </w:rPr>
        <w:t>新家园</w:t>
      </w:r>
      <w:bookmarkEnd w:id="134"/>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坚持“投资于人”的核心发展理念，大力推进教育卫生、就业创业、社会保障等多项民生，着力完善“一老一小”服务体系，持续激发人的潜能活力，提升群众生活品质，</w:t>
      </w:r>
      <w:r>
        <w:rPr>
          <w:rFonts w:hint="eastAsia" w:ascii="Times New Roman" w:hAnsi="Times New Roman" w:cs="Times New Roman"/>
          <w:lang w:val="en-US" w:eastAsia="zh-CN"/>
        </w:rPr>
        <w:t>推动</w:t>
      </w:r>
      <w:r>
        <w:rPr>
          <w:rFonts w:hint="default" w:ascii="Times New Roman" w:hAnsi="Times New Roman" w:cs="Times New Roman"/>
          <w:lang w:val="en-US" w:eastAsia="zh-CN"/>
        </w:rPr>
        <w:t>潘集建设</w:t>
      </w:r>
      <w:r>
        <w:rPr>
          <w:rFonts w:hint="eastAsia" w:cs="Times New Roman"/>
          <w:lang w:val="en-US" w:eastAsia="zh-CN"/>
        </w:rPr>
        <w:t>成为</w:t>
      </w:r>
      <w:r>
        <w:rPr>
          <w:rFonts w:hint="default" w:ascii="Times New Roman" w:hAnsi="Times New Roman" w:cs="Times New Roman"/>
          <w:lang w:val="en-US" w:eastAsia="zh-CN"/>
        </w:rPr>
        <w:t>幸福美满新家园。</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35" w:name="_Toc31589"/>
      <w:r>
        <w:rPr>
          <w:rFonts w:hint="default" w:ascii="Times New Roman" w:hAnsi="Times New Roman" w:eastAsia="黑体" w:cs="Times New Roman"/>
          <w:b w:val="0"/>
          <w:bCs/>
          <w:lang w:val="en-US" w:eastAsia="zh-CN"/>
        </w:rPr>
        <w:t>第一节 全力办好人民满意的教育</w:t>
      </w:r>
      <w:bookmarkEnd w:id="135"/>
    </w:p>
    <w:p>
      <w:pPr>
        <w:pStyle w:val="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一、多措并举推进城乡教育资源一体化</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统筹城乡教育资源，构建“均衡、优质、现代化”的新型教育发展格局。加快推进基础教育办强办优，逐步推行免费学前教育，加快学前教育普惠普及发展</w:t>
      </w:r>
      <w:r>
        <w:rPr>
          <w:rFonts w:hint="eastAsia" w:cs="Times New Roman"/>
          <w:lang w:val="en-US" w:eastAsia="zh-CN"/>
        </w:rPr>
        <w:t>。</w:t>
      </w:r>
      <w:r>
        <w:rPr>
          <w:rFonts w:hint="default" w:ascii="Times New Roman" w:hAnsi="Times New Roman" w:cs="Times New Roman"/>
          <w:lang w:val="en-US" w:eastAsia="zh-CN"/>
        </w:rPr>
        <w:t>推动义务教育优质均衡发展和城乡一体化，优化区域教育资源配置</w:t>
      </w:r>
      <w:r>
        <w:rPr>
          <w:rFonts w:hint="eastAsia" w:cs="Times New Roman"/>
          <w:lang w:val="en-US" w:eastAsia="zh-CN"/>
        </w:rPr>
        <w:t>。</w:t>
      </w:r>
      <w:r>
        <w:rPr>
          <w:rFonts w:hint="default" w:ascii="Times New Roman" w:hAnsi="Times New Roman" w:cs="Times New Roman"/>
          <w:lang w:val="en-US" w:eastAsia="zh-CN"/>
        </w:rPr>
        <w:t>探索市辖区集团化办学，构建“多元一体”格局，提升区一小、区四小、区五小、区实验小学的教育集团规模</w:t>
      </w:r>
      <w:r>
        <w:rPr>
          <w:rFonts w:hint="eastAsia" w:cs="Times New Roman"/>
          <w:lang w:val="en-US" w:eastAsia="zh-CN"/>
        </w:rPr>
        <w:t>，</w:t>
      </w:r>
      <w:r>
        <w:rPr>
          <w:rFonts w:hint="default" w:ascii="Times New Roman" w:hAnsi="Times New Roman" w:cs="Times New Roman"/>
          <w:lang w:val="en-US" w:eastAsia="zh-CN"/>
        </w:rPr>
        <w:t>积极推进区实验中学与区一小改扩建，打造皖北优质教育名校区实验中学教育集团</w:t>
      </w:r>
      <w:r>
        <w:rPr>
          <w:rFonts w:hint="eastAsia" w:cs="Times New Roman"/>
          <w:lang w:val="en-US" w:eastAsia="zh-CN"/>
        </w:rPr>
        <w:t>。</w:t>
      </w:r>
      <w:r>
        <w:rPr>
          <w:rFonts w:hint="default" w:ascii="Times New Roman" w:hAnsi="Times New Roman" w:cs="Times New Roman"/>
          <w:lang w:val="en-US" w:eastAsia="zh-CN"/>
        </w:rPr>
        <w:t>建立健全学校布局动态调整机制，探索“九年一贯制”、“名校+弱校”办学模式</w:t>
      </w:r>
      <w:r>
        <w:rPr>
          <w:rFonts w:hint="eastAsia" w:cs="Times New Roman"/>
          <w:lang w:val="en-US" w:eastAsia="zh-CN"/>
        </w:rPr>
        <w:t>。</w:t>
      </w:r>
      <w:r>
        <w:rPr>
          <w:rFonts w:hint="default" w:ascii="Times New Roman" w:hAnsi="Times New Roman" w:cs="Times New Roman"/>
          <w:lang w:val="en-US" w:eastAsia="zh-CN"/>
        </w:rPr>
        <w:t>着力优化中小学布局</w:t>
      </w:r>
      <w:r>
        <w:rPr>
          <w:rFonts w:hint="eastAsia" w:cs="Times New Roman"/>
          <w:lang w:val="en-US" w:eastAsia="zh-CN"/>
        </w:rPr>
        <w:t>，</w:t>
      </w:r>
      <w:r>
        <w:rPr>
          <w:rFonts w:hint="default" w:ascii="Times New Roman" w:hAnsi="Times New Roman" w:cs="Times New Roman"/>
          <w:lang w:val="en-US" w:eastAsia="zh-CN"/>
        </w:rPr>
        <w:t>对50人以下的小规模学校撤并整合</w:t>
      </w:r>
      <w:r>
        <w:rPr>
          <w:rFonts w:hint="eastAsia" w:cs="Times New Roman"/>
          <w:lang w:val="en-US" w:eastAsia="zh-CN"/>
        </w:rPr>
        <w:t>。</w:t>
      </w:r>
      <w:r>
        <w:rPr>
          <w:rFonts w:hint="default" w:ascii="Times New Roman" w:hAnsi="Times New Roman" w:cs="Times New Roman"/>
          <w:lang w:val="en-US" w:eastAsia="zh-CN"/>
        </w:rPr>
        <w:t>坚持职普融通，高中阶段职普比例不做限制，推进优质普通高中扩容，加快职业教育高品质特色发展。</w:t>
      </w:r>
      <w:r>
        <w:rPr>
          <w:rFonts w:hint="eastAsia" w:cs="Times New Roman"/>
          <w:lang w:val="en-US" w:eastAsia="zh-CN"/>
        </w:rPr>
        <w:t>加</w:t>
      </w:r>
      <w:r>
        <w:rPr>
          <w:rFonts w:hint="default" w:ascii="Times New Roman" w:hAnsi="Times New Roman" w:cs="Times New Roman"/>
          <w:lang w:val="en-US" w:eastAsia="zh-CN"/>
        </w:rPr>
        <w:t>大农村地区教育事业投入力度，提升农村教育质量。进一步完善落实进城务工人员随迁子女就学政策，持续实施特殊教育提升计划，落实好军人子女教育优待政策，统筹推进各级各类教育协调发展，优化老年教育</w:t>
      </w:r>
      <w:r>
        <w:rPr>
          <w:rFonts w:hint="default" w:cs="Times New Roman"/>
          <w:lang w:val="en-US" w:eastAsia="zh-CN"/>
        </w:rPr>
        <w:t>、继续教育</w:t>
      </w:r>
      <w:r>
        <w:rPr>
          <w:rFonts w:hint="default" w:ascii="Times New Roman" w:hAnsi="Times New Roman" w:cs="Times New Roman"/>
          <w:lang w:val="en-US" w:eastAsia="zh-CN"/>
        </w:rPr>
        <w:t>，完善全民终身学习机制。</w:t>
      </w:r>
    </w:p>
    <w:p>
      <w:pPr>
        <w:pStyle w:val="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二、发挥优质学校辐射提升教育教学质量</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继续推深做实区政府与市教体局达成的《帮扶支持潘集区教育发展框架协议》，通过名校托管、结对共建、资源共享等创新举措提升区第一幼儿园、区三小、区实验中学、市二十一中的教育教学水平的提升。全面落实安庆二中南区管理团队对区实验中学的教学管理工作，积极支持管理团队结合实际，从学校管理、学生成长、教师发展、校园文化等多个维度，开展丰富多彩的学科教研、文体活动和社会实践活动，促进学生全面发展，全力推进新优质学校建设。促进优质教育资源不断向周边辐射，带动潘集整体教育教学水平的提高</w:t>
      </w:r>
      <w:r>
        <w:rPr>
          <w:rFonts w:hint="eastAsia" w:cs="Times New Roman"/>
          <w:lang w:val="en-US" w:eastAsia="zh-CN"/>
        </w:rPr>
        <w:t>。</w:t>
      </w:r>
      <w:r>
        <w:rPr>
          <w:rFonts w:hint="default" w:ascii="Times New Roman" w:hAnsi="Times New Roman" w:cs="Times New Roman"/>
          <w:lang w:val="en-US" w:eastAsia="zh-CN"/>
        </w:rPr>
        <w:t>继续开展“5+4”办学模式改革</w:t>
      </w:r>
      <w:r>
        <w:rPr>
          <w:rFonts w:hint="eastAsia" w:ascii="Times New Roman" w:hAnsi="Times New Roman" w:cs="Times New Roman"/>
          <w:lang w:val="en-US" w:eastAsia="zh-CN"/>
        </w:rPr>
        <w:t>，</w:t>
      </w:r>
      <w:r>
        <w:rPr>
          <w:rFonts w:hint="eastAsia" w:cs="Times New Roman"/>
          <w:lang w:val="en-US" w:eastAsia="zh-CN"/>
        </w:rPr>
        <w:t>支持</w:t>
      </w:r>
      <w:r>
        <w:rPr>
          <w:rFonts w:hint="default" w:ascii="Times New Roman" w:hAnsi="Times New Roman" w:cs="Times New Roman"/>
          <w:lang w:val="en-US" w:eastAsia="zh-CN"/>
        </w:rPr>
        <w:t>全区有条件的农村小学六年级学生进入本乡镇中学就读，充分利用中学师资，拓宽音乐、体育、美术、英语等小学科课程覆盖面，稳定乡镇初中生生源。对全区教师的学科情况、年龄结构、能力情况进行全面统计分析，采取交流轮岗、转岗培训等方式，充分利用、合理调配现有资源，积极参与全市第七批学科带头人、骨干教师和第六届教坛新星评选，着力打造高素质专业化教师队伍。</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三、持续深入推进长三角地区教育合作</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积极推进皖北基础教育优质资源扩容工程，立足被帮扶的区实验中学实际需求，主动嫁接安庆二中的先进育人理念、管理制度、教学经验和方法</w:t>
      </w:r>
      <w:r>
        <w:rPr>
          <w:rFonts w:hint="eastAsia" w:ascii="Times New Roman" w:hAnsi="Times New Roman" w:cs="Times New Roman"/>
          <w:lang w:val="en-US" w:eastAsia="zh-CN"/>
        </w:rPr>
        <w:t>，</w:t>
      </w:r>
      <w:r>
        <w:rPr>
          <w:rFonts w:hint="default" w:ascii="Times New Roman" w:hAnsi="Times New Roman" w:cs="Times New Roman"/>
          <w:lang w:val="en-US" w:eastAsia="zh-CN"/>
        </w:rPr>
        <w:t>不断增强“造血”功能，健全一体化教研机制，分学科组建教研共同体，强化联合教研，带动区实验中学教研能力提升，打造潘集的皖北新优质学校。多措并举加强教师队伍建设</w:t>
      </w:r>
      <w:r>
        <w:rPr>
          <w:rFonts w:hint="eastAsia" w:cs="Times New Roman"/>
          <w:lang w:val="en-US" w:eastAsia="zh-CN"/>
        </w:rPr>
        <w:t>，</w:t>
      </w:r>
      <w:r>
        <w:rPr>
          <w:rFonts w:hint="default" w:ascii="Times New Roman" w:hAnsi="Times New Roman" w:cs="Times New Roman"/>
          <w:lang w:val="en-US" w:eastAsia="zh-CN"/>
        </w:rPr>
        <w:t>依托长三角等省内外知名师范院校，建立校长教师赴长三角地区培训的常态化机制，学习优质教育理念。充分利用结对帮扶机制，每年选派一批校长教师，赴沪苏浙知名中小学跟岗研修、挂职锻炼，促进潘集教师教育教学能力的提升。</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四、提升教育信息化水平</w:t>
      </w:r>
    </w:p>
    <w:p>
      <w:pPr>
        <w:bidi w:val="0"/>
        <w:rPr>
          <w:rFonts w:hint="default" w:ascii="Times New Roman" w:hAnsi="Times New Roman" w:cs="Times New Roman"/>
          <w:lang w:val="en-US" w:eastAsia="zh-CN"/>
        </w:rPr>
      </w:pPr>
      <w:r>
        <w:rPr>
          <w:rFonts w:hint="eastAsia" w:ascii="Times New Roman" w:hAnsi="Times New Roman" w:cs="Times New Roman"/>
          <w:lang w:val="en-US" w:eastAsia="zh-CN"/>
        </w:rPr>
        <w:t>持续</w:t>
      </w:r>
      <w:r>
        <w:rPr>
          <w:rFonts w:hint="default" w:ascii="Times New Roman" w:hAnsi="Times New Roman" w:cs="Times New Roman"/>
          <w:lang w:val="en-US" w:eastAsia="zh-CN"/>
        </w:rPr>
        <w:t>推进人工智能与教育教学的深度融合，探索AI在个性化学习、课堂互动、教学评价等场景的应用，加快打造智慧课堂教学应用场景，创造“人工智能+教育”新模式。</w:t>
      </w:r>
      <w:r>
        <w:rPr>
          <w:rFonts w:hint="eastAsia" w:ascii="Times New Roman" w:hAnsi="Times New Roman" w:cs="Times New Roman"/>
          <w:lang w:val="en-US" w:eastAsia="zh-CN"/>
        </w:rPr>
        <w:t>加大强化</w:t>
      </w:r>
      <w:r>
        <w:rPr>
          <w:rFonts w:hint="default" w:ascii="Times New Roman" w:hAnsi="Times New Roman" w:cs="Times New Roman"/>
          <w:lang w:val="en-US" w:eastAsia="zh-CN"/>
        </w:rPr>
        <w:t>校园5G网络、物联网设备</w:t>
      </w:r>
      <w:r>
        <w:rPr>
          <w:rFonts w:hint="eastAsia" w:ascii="Times New Roman" w:hAnsi="Times New Roman" w:cs="Times New Roman"/>
          <w:lang w:val="en-US" w:eastAsia="zh-CN"/>
        </w:rPr>
        <w:t>等硬件设施建设力度</w:t>
      </w:r>
      <w:r>
        <w:rPr>
          <w:rFonts w:hint="default" w:ascii="Times New Roman" w:hAnsi="Times New Roman" w:cs="Times New Roman"/>
          <w:lang w:val="en-US" w:eastAsia="zh-CN"/>
        </w:rPr>
        <w:t>，推动数据整合和基础设施互联互通，构建便捷高效的智慧校园服务体系，优化师生校园生活体验，把“AI”应用到学情诊断、虚拟实验室，</w:t>
      </w:r>
      <w:r>
        <w:rPr>
          <w:rFonts w:hint="eastAsia" w:cs="Times New Roman"/>
          <w:lang w:val="en-US" w:eastAsia="zh-CN"/>
        </w:rPr>
        <w:t>力争</w:t>
      </w:r>
      <w:r>
        <w:rPr>
          <w:rFonts w:hint="default" w:ascii="Times New Roman" w:hAnsi="Times New Roman" w:cs="Times New Roman"/>
          <w:lang w:val="en-US" w:eastAsia="zh-CN"/>
        </w:rPr>
        <w:t>到2030年实现“AI”教育教学覆盖率100%。</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36" w:name="_Toc4284"/>
      <w:r>
        <w:rPr>
          <w:rFonts w:hint="default" w:ascii="Times New Roman" w:hAnsi="Times New Roman" w:eastAsia="黑体" w:cs="Times New Roman"/>
          <w:b w:val="0"/>
          <w:bCs/>
          <w:lang w:val="en-US" w:eastAsia="zh-CN"/>
        </w:rPr>
        <w:t>第二节 促进更充分更高质量就业</w:t>
      </w:r>
      <w:bookmarkEnd w:id="136"/>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一、强化就业优先政策</w:t>
      </w:r>
    </w:p>
    <w:p>
      <w:pPr>
        <w:bidi w:val="0"/>
        <w:rPr>
          <w:rFonts w:hint="default" w:ascii="Times New Roman" w:hAnsi="Times New Roman" w:cs="Times New Roman"/>
          <w:lang w:val="en-US" w:eastAsia="zh-CN"/>
        </w:rPr>
      </w:pPr>
      <w:r>
        <w:rPr>
          <w:rFonts w:hint="eastAsia" w:ascii="Times New Roman" w:hAnsi="Times New Roman" w:cs="Times New Roman"/>
          <w:lang w:val="en-US" w:eastAsia="zh-CN"/>
        </w:rPr>
        <w:t>健全</w:t>
      </w:r>
      <w:r>
        <w:rPr>
          <w:rFonts w:hint="default" w:ascii="Times New Roman" w:hAnsi="Times New Roman" w:cs="Times New Roman"/>
          <w:lang w:val="en-US" w:eastAsia="zh-CN"/>
        </w:rPr>
        <w:t>完善就业政策体系，针对不同群体和产业特点，制定更具针对性和实效性的政策措施。全面落实促进高质量充分就业各项措施，统筹做好退役军人、农民工、残疾人、采煤沉陷区搬迁群众等重点群体就业，全力拓宽高校毕业生等青年群体就业渠道。突出产业、就业、创业联动，紧密围绕全区主导产业发展需求，以产业发展带动就业增长，以经开区园中园为重要载体，打造就业创业集聚平台，实施中小微企业就业支持计划，落实援企稳岗政策措施。加强就业困难群体帮扶，建立就业困难人员动态管理台账，实施“一人一策”精准帮扶，确保零就业家庭动态清零。探索实施优薪优岗计划，动态发布产业人力资源和急需紧缺人才需求目录，加大优质岗位供给。加大政策宣传和落实力度，简化申报流程，提高政策知晓度和兑现率。</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二、优化公共就业服务</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加强公共就业服务机构建设</w:t>
      </w:r>
      <w:r>
        <w:rPr>
          <w:rFonts w:hint="eastAsia" w:cs="Times New Roman"/>
          <w:lang w:val="en-US" w:eastAsia="zh-CN"/>
        </w:rPr>
        <w:t>，</w:t>
      </w:r>
      <w:r>
        <w:rPr>
          <w:rFonts w:hint="default" w:ascii="Times New Roman" w:hAnsi="Times New Roman" w:cs="Times New Roman"/>
          <w:lang w:val="en-US" w:eastAsia="zh-CN"/>
        </w:rPr>
        <w:t>大力实施“乐业潘集”就业促进工程，建立健全就业信息发布机制，提供全方位就业服务。</w:t>
      </w:r>
      <w:r>
        <w:rPr>
          <w:rFonts w:hint="eastAsia" w:ascii="Times New Roman" w:hAnsi="Times New Roman" w:cs="Times New Roman"/>
          <w:lang w:val="en-US" w:eastAsia="zh-CN"/>
        </w:rPr>
        <w:t>持续</w:t>
      </w:r>
      <w:r>
        <w:rPr>
          <w:rFonts w:hint="default" w:ascii="Times New Roman" w:hAnsi="Times New Roman" w:cs="Times New Roman"/>
          <w:lang w:val="en-US" w:eastAsia="zh-CN"/>
        </w:rPr>
        <w:t>开展“就业援助月”“春风行动”“民营企业招聘周”等系列就业服务活动，为各类求职者提供丰富就业岗位</w:t>
      </w:r>
      <w:r>
        <w:rPr>
          <w:rFonts w:hint="eastAsia" w:cs="Times New Roman"/>
          <w:lang w:val="en-US" w:eastAsia="zh-CN"/>
        </w:rPr>
        <w:t>。</w:t>
      </w:r>
      <w:r>
        <w:rPr>
          <w:rFonts w:hint="default" w:ascii="Times New Roman" w:hAnsi="Times New Roman" w:cs="Times New Roman"/>
          <w:lang w:val="en-US" w:eastAsia="zh-CN"/>
        </w:rPr>
        <w:t>推进就业服务平台智能化建设，实现就业信息实时更新、精准匹配和在线办理。加大创业资金支持，</w:t>
      </w:r>
      <w:r>
        <w:rPr>
          <w:rFonts w:hint="eastAsia" w:cs="Times New Roman"/>
          <w:lang w:val="en-US" w:eastAsia="zh-CN"/>
        </w:rPr>
        <w:t>落</w:t>
      </w:r>
      <w:r>
        <w:rPr>
          <w:rFonts w:hint="default" w:ascii="Times New Roman" w:hAnsi="Times New Roman" w:cs="Times New Roman"/>
          <w:lang w:val="en-US" w:eastAsia="zh-CN"/>
        </w:rPr>
        <w:t>实创业担保贷款、创业补贴等政策，建设创业孵化基地，为创业者提供场地、资金、技术等一站式服务，营造良好的创业环境</w:t>
      </w:r>
      <w:r>
        <w:rPr>
          <w:rFonts w:hint="eastAsia" w:cs="Times New Roman"/>
          <w:lang w:val="en-US" w:eastAsia="zh-CN"/>
        </w:rPr>
        <w:t>。</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三、健全职业技能培训体系</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深入实施职业技能提升行动，建设职业技能培训实训基地，根据市场需求和劳动者意愿，整合各类培训资源，开展订单式、定向式、定岗式培训</w:t>
      </w:r>
      <w:r>
        <w:rPr>
          <w:rFonts w:hint="eastAsia" w:cs="Times New Roman"/>
          <w:lang w:val="en-US" w:eastAsia="zh-CN"/>
        </w:rPr>
        <w:t>。针对不同群体开展有针对性的培训课程，如针对农村劳动力的农业实用技术培训、针对城市失业人员的再就业培训等。</w:t>
      </w:r>
      <w:r>
        <w:rPr>
          <w:rFonts w:hint="default" w:ascii="Times New Roman" w:hAnsi="Times New Roman" w:cs="Times New Roman"/>
          <w:lang w:val="en-US" w:eastAsia="zh-CN"/>
        </w:rPr>
        <w:t>实施企业新型学徒制培训，鼓励企业与职业院校合作，培养适应企业需求的技能人才。开展职业技能竞赛活动，搭建技能人才展示平台，营造尊重技能、崇尚技能的良好氛围。</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四、营造良好创业环境</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落实创业扶持政策，深入实施创业淮南行动。完善创业服务体系，打造一批创业示范基地和众创空间，提供创业培训、导师指导、项目路演、融资对接等一站式服务。加强创业孵化基地建设，提高孵化成功率和创业带动就业能力。举办创业大赛和创业论坛，激发创业者的创新活力和创业热情。加大创业担保贷款支持力度，提高贷款额度和覆盖面，为创业者解决资金难题。</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37" w:name="_Toc13702"/>
      <w:r>
        <w:rPr>
          <w:rFonts w:hint="default" w:ascii="Times New Roman" w:hAnsi="Times New Roman" w:eastAsia="黑体" w:cs="Times New Roman"/>
          <w:b w:val="0"/>
          <w:bCs/>
          <w:lang w:val="en-US" w:eastAsia="zh-CN"/>
        </w:rPr>
        <w:t>第三节 打造“健康淮南”潘集样本</w:t>
      </w:r>
      <w:bookmarkEnd w:id="137"/>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一、深入推进医药卫生体制改革</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全面落实深化医药卫生体制改革，促进医疗、医保、医药协同发展和治理，以增进人民健康福祉为出发点和落脚点，健全目标统一、政策衔接、信息联通、监管联动等机制。锚定卫生健康领域深化改革目标任务</w:t>
      </w:r>
      <w:r>
        <w:rPr>
          <w:rFonts w:hint="default" w:cs="Times New Roman"/>
          <w:lang w:val="en-US" w:eastAsia="zh-CN"/>
        </w:rPr>
        <w:t>，</w:t>
      </w:r>
      <w:r>
        <w:rPr>
          <w:rFonts w:hint="default" w:ascii="Times New Roman" w:hAnsi="Times New Roman" w:cs="Times New Roman"/>
          <w:lang w:val="en-US" w:eastAsia="zh-CN"/>
        </w:rPr>
        <w:t>统筹提升卫生健康服务能力，持续做好优质医疗资源嫁接，主动与长三角知名医疗机构开展交流合作，提升临床专科能力和管理能力。大力支持公立医院发展，规范保障民营医疗机构发展，支持市五院和北方医院争创三级综合医院</w:t>
      </w:r>
      <w:r>
        <w:rPr>
          <w:rFonts w:hint="default" w:cs="Times New Roman"/>
          <w:lang w:val="en-US" w:eastAsia="zh-CN"/>
        </w:rPr>
        <w:t>，</w:t>
      </w:r>
      <w:r>
        <w:rPr>
          <w:rFonts w:hint="default" w:ascii="Times New Roman" w:hAnsi="Times New Roman" w:cs="Times New Roman"/>
          <w:lang w:val="en-US" w:eastAsia="zh-CN"/>
        </w:rPr>
        <w:t>借力嫁接优质医疗资源优势，打造市五院“一体两翼”发展新格局。</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二、健全公共卫生</w:t>
      </w:r>
      <w:r>
        <w:rPr>
          <w:rFonts w:hint="default" w:cs="Times New Roman"/>
          <w:lang w:val="en-US" w:eastAsia="zh-CN"/>
        </w:rPr>
        <w:t>服务</w:t>
      </w:r>
      <w:r>
        <w:rPr>
          <w:rFonts w:hint="default" w:ascii="Times New Roman" w:hAnsi="Times New Roman" w:cs="Times New Roman"/>
          <w:lang w:val="en-US" w:eastAsia="zh-CN"/>
        </w:rPr>
        <w:t>体系</w:t>
      </w:r>
    </w:p>
    <w:p>
      <w:pPr>
        <w:bidi w:val="0"/>
        <w:rPr>
          <w:rFonts w:hint="default" w:ascii="Times New Roman" w:hAnsi="Times New Roman" w:cs="Times New Roman"/>
          <w:lang w:val="en-US" w:eastAsia="zh-CN"/>
        </w:rPr>
      </w:pPr>
      <w:r>
        <w:rPr>
          <w:rFonts w:hint="default" w:ascii="Times New Roman" w:hAnsi="Times New Roman" w:cs="Times New Roman"/>
          <w:highlight w:val="none"/>
          <w:lang w:val="en-US" w:eastAsia="zh-CN"/>
        </w:rPr>
        <w:t>加快建设</w:t>
      </w:r>
      <w:r>
        <w:rPr>
          <w:rFonts w:hint="default" w:ascii="Times New Roman" w:hAnsi="Times New Roman" w:cs="Times New Roman"/>
          <w:lang w:val="en-US" w:eastAsia="zh-CN"/>
        </w:rPr>
        <w:t>“纵到底、横到边”的分级诊疗服务网络</w:t>
      </w:r>
      <w:r>
        <w:rPr>
          <w:rFonts w:hint="default" w:ascii="Times New Roman" w:hAnsi="Times New Roman" w:cs="Times New Roman"/>
          <w:highlight w:val="none"/>
          <w:lang w:val="en-US" w:eastAsia="zh-CN"/>
        </w:rPr>
        <w:t>，促</w:t>
      </w:r>
      <w:r>
        <w:rPr>
          <w:rFonts w:hint="default" w:ascii="Times New Roman" w:hAnsi="Times New Roman" w:cs="Times New Roman"/>
          <w:lang w:val="en-US" w:eastAsia="zh-CN"/>
        </w:rPr>
        <w:t>进优质医疗资源扩容和均衡布局</w:t>
      </w:r>
      <w:r>
        <w:rPr>
          <w:rFonts w:hint="default" w:cs="Times New Roman"/>
          <w:lang w:val="en-US" w:eastAsia="zh-CN"/>
        </w:rPr>
        <w:t>，</w:t>
      </w:r>
      <w:r>
        <w:rPr>
          <w:rFonts w:hint="default" w:ascii="Times New Roman" w:hAnsi="Times New Roman" w:cs="Times New Roman"/>
          <w:lang w:val="en-US" w:eastAsia="zh-CN"/>
        </w:rPr>
        <w:t>强化服务体系上下协同联动和支援帮扶，对基层医疗机构开展巡诊带教、远程会诊</w:t>
      </w:r>
      <w:r>
        <w:rPr>
          <w:rFonts w:hint="default" w:cs="Times New Roman"/>
          <w:lang w:val="en-US" w:eastAsia="zh-CN"/>
        </w:rPr>
        <w:t>。加强医疗卫生基础设施建设，完善街道、社区医疗卫生服务网络，</w:t>
      </w:r>
      <w:r>
        <w:rPr>
          <w:rFonts w:hint="default" w:ascii="Times New Roman" w:hAnsi="Times New Roman" w:cs="Times New Roman"/>
          <w:lang w:val="en-US" w:eastAsia="zh-CN"/>
        </w:rPr>
        <w:t>推进紧密型医联体建设</w:t>
      </w:r>
      <w:r>
        <w:rPr>
          <w:rFonts w:hint="default" w:cs="Times New Roman"/>
          <w:lang w:val="en-US" w:eastAsia="zh-CN"/>
        </w:rPr>
        <w:t>，</w:t>
      </w:r>
      <w:r>
        <w:rPr>
          <w:rFonts w:hint="default" w:ascii="Times New Roman" w:hAnsi="Times New Roman" w:cs="Times New Roman"/>
          <w:lang w:val="en-US" w:eastAsia="zh-CN"/>
        </w:rPr>
        <w:t>推动基层医疗卫生体系形成“资源共享、优势互补、共同发展”的良好格局</w:t>
      </w:r>
      <w:r>
        <w:rPr>
          <w:rFonts w:hint="eastAsia" w:cs="Times New Roman"/>
          <w:lang w:val="en-US" w:eastAsia="zh-CN"/>
        </w:rPr>
        <w:t>。</w:t>
      </w:r>
      <w:r>
        <w:rPr>
          <w:rFonts w:hint="default" w:ascii="Times New Roman" w:hAnsi="Times New Roman" w:cs="Times New Roman"/>
          <w:lang w:val="en-US" w:eastAsia="zh-CN"/>
        </w:rPr>
        <w:t>建设农村院前急救站（点），致力于打造“15分钟农村医疗急救圈”</w:t>
      </w:r>
      <w:r>
        <w:rPr>
          <w:rFonts w:hint="default" w:cs="Times New Roman"/>
          <w:lang w:val="en-US" w:eastAsia="zh-CN"/>
        </w:rPr>
        <w:t>，</w:t>
      </w:r>
      <w:r>
        <w:rPr>
          <w:rFonts w:hint="default" w:ascii="Times New Roman" w:hAnsi="Times New Roman" w:cs="Times New Roman"/>
          <w:lang w:val="en-US" w:eastAsia="zh-CN"/>
        </w:rPr>
        <w:t>强化村级卫生管理服务。完善重大疫情防治体系，健全和优化平战结合、跨部门跨区域、上下联动的联防联控机制，强化监测预警、风险评估、流行病学调查、检验检测、应急处置和医疗救治能力，提高重大疫情早发现能力。深入开展健康中国行动和爱国卫生运动，加强重大慢性病预防和早期干预，探索慢病管理全流程健康管理服务模式，</w:t>
      </w:r>
      <w:r>
        <w:rPr>
          <w:rFonts w:hint="default" w:cs="Times New Roman"/>
          <w:lang w:val="en-US" w:eastAsia="zh-CN"/>
        </w:rPr>
        <w:t>推进</w:t>
      </w:r>
      <w:r>
        <w:rPr>
          <w:rFonts w:hint="default" w:ascii="Times New Roman" w:hAnsi="Times New Roman" w:cs="Times New Roman"/>
          <w:lang w:val="en-US" w:eastAsia="zh-CN"/>
        </w:rPr>
        <w:t>基层慢性病管理中心建设全覆盖，创新家庭医生签约服务模式。</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w:t>
      </w:r>
      <w:r>
        <w:rPr>
          <w:rFonts w:hint="default" w:cs="Times New Roman"/>
          <w:lang w:val="en-US" w:eastAsia="zh-CN"/>
        </w:rPr>
        <w:t>推进</w:t>
      </w:r>
      <w:r>
        <w:rPr>
          <w:rFonts w:hint="default" w:ascii="Times New Roman" w:hAnsi="Times New Roman" w:cs="Times New Roman"/>
          <w:lang w:val="en-US" w:eastAsia="zh-CN"/>
        </w:rPr>
        <w:t>中医药传承创新发展</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推进中医优质医疗资源提质扩容增能，加强中医优势专科能力建设，完善以淮南中医院潘集分院为龙头，市五院中医科室为骨干，乡镇卫生院为基础的中医药服务体系，稳步推进中医药服务纳入医保支付范围</w:t>
      </w:r>
      <w:r>
        <w:rPr>
          <w:rFonts w:hint="eastAsia" w:cs="Times New Roman"/>
          <w:lang w:val="en-US" w:eastAsia="zh-CN"/>
        </w:rPr>
        <w:t>，</w:t>
      </w:r>
      <w:r>
        <w:rPr>
          <w:rFonts w:hint="default" w:ascii="Times New Roman" w:hAnsi="Times New Roman" w:cs="Times New Roman"/>
          <w:lang w:val="en-US" w:eastAsia="zh-CN"/>
        </w:rPr>
        <w:t>持续优化中医药服务供给</w:t>
      </w:r>
      <w:r>
        <w:rPr>
          <w:rFonts w:hint="eastAsia" w:cs="Times New Roman"/>
          <w:lang w:val="en-US" w:eastAsia="zh-CN"/>
        </w:rPr>
        <w:t>。</w:t>
      </w:r>
      <w:r>
        <w:rPr>
          <w:rFonts w:hint="default" w:ascii="Times New Roman" w:hAnsi="Times New Roman" w:cs="Times New Roman"/>
          <w:lang w:val="en-US" w:eastAsia="zh-CN"/>
        </w:rPr>
        <w:t>推动实施“新时代神农尝百草”工程，丰富中医药治疗手段，大力弘扬中医药文化精神内涵和时代价值，加强中医药人才队伍建设</w:t>
      </w:r>
      <w:r>
        <w:rPr>
          <w:rFonts w:hint="eastAsia" w:cs="Times New Roman"/>
          <w:lang w:val="en-US" w:eastAsia="zh-CN"/>
        </w:rPr>
        <w:t>，</w:t>
      </w:r>
      <w:r>
        <w:rPr>
          <w:rFonts w:hint="default" w:ascii="Times New Roman" w:hAnsi="Times New Roman" w:cs="Times New Roman"/>
          <w:lang w:val="en-US" w:eastAsia="zh-CN"/>
        </w:rPr>
        <w:t>促进中医药传承创新发展，推动中医药走出去。积极推动中医药与文化、旅游、健康等相关产业深度融合，以产业发展助力和美乡村建设</w:t>
      </w:r>
      <w:r>
        <w:rPr>
          <w:rFonts w:hint="eastAsia" w:cs="Times New Roman"/>
          <w:lang w:val="en-US" w:eastAsia="zh-CN"/>
        </w:rPr>
        <w:t>。</w:t>
      </w:r>
    </w:p>
    <w:p>
      <w:pPr>
        <w:pStyle w:val="4"/>
        <w:bidi w:val="0"/>
        <w:rPr>
          <w:rFonts w:hint="default" w:ascii="Times New Roman" w:hAnsi="Times New Roman" w:cs="Times New Roman"/>
          <w:lang w:val="en-US" w:eastAsia="zh-CN"/>
        </w:rPr>
      </w:pPr>
      <w:r>
        <w:rPr>
          <w:rFonts w:hint="default" w:cs="Times New Roman"/>
          <w:lang w:val="en-US" w:eastAsia="zh-CN"/>
        </w:rPr>
        <w:t>四、</w:t>
      </w:r>
      <w:r>
        <w:rPr>
          <w:rFonts w:hint="default" w:ascii="Times New Roman" w:hAnsi="Times New Roman" w:cs="Times New Roman"/>
          <w:lang w:val="en-US" w:eastAsia="zh-CN"/>
        </w:rPr>
        <w:t>推进智慧医疗</w:t>
      </w:r>
      <w:r>
        <w:rPr>
          <w:rFonts w:hint="default" w:cs="Times New Roman"/>
          <w:lang w:val="en-US" w:eastAsia="zh-CN"/>
        </w:rPr>
        <w:t>建设</w:t>
      </w:r>
    </w:p>
    <w:p>
      <w:pPr>
        <w:bidi w:val="0"/>
        <w:rPr>
          <w:rFonts w:hint="default" w:cs="Times New Roman"/>
          <w:lang w:val="en-US" w:eastAsia="zh-CN"/>
        </w:rPr>
      </w:pPr>
      <w:r>
        <w:rPr>
          <w:rFonts w:hint="default" w:cs="Times New Roman"/>
          <w:lang w:val="en-US" w:eastAsia="zh-CN"/>
        </w:rPr>
        <w:t>强化防病治病和健康管理能力，扎实推进转诊连续服务和检查检验结果互认，提高远程医疗服务能力，利用居民电子健康档案开展疾病预警和健康管理，通过信息化实现“基础诊疗+慢性病管理”一体化服务。探索基于大数据的慢性病风险预测模型，实现精准干预。创新医疗卫生行业综合监管手段，</w:t>
      </w:r>
      <w:r>
        <w:rPr>
          <w:rFonts w:hint="default" w:cs="Times New Roman"/>
        </w:rPr>
        <w:t>利用人工智能、物联网、大数据、云计算等</w:t>
      </w:r>
      <w:r>
        <w:rPr>
          <w:rFonts w:hint="eastAsia" w:ascii="Times New Roman" w:hAnsi="Times New Roman" w:cs="Times New Roman"/>
          <w:lang w:val="en-US" w:eastAsia="zh-CN"/>
        </w:rPr>
        <w:t>新</w:t>
      </w:r>
      <w:r>
        <w:rPr>
          <w:rFonts w:hint="default" w:cs="Times New Roman"/>
        </w:rPr>
        <w:t>技术</w:t>
      </w:r>
      <w:r>
        <w:rPr>
          <w:rFonts w:hint="eastAsia" w:ascii="Times New Roman" w:hAnsi="Times New Roman" w:cs="Times New Roman"/>
          <w:lang w:eastAsia="zh-CN"/>
        </w:rPr>
        <w:t>，</w:t>
      </w:r>
      <w:r>
        <w:rPr>
          <w:rFonts w:hint="default" w:cs="Times New Roman"/>
        </w:rPr>
        <w:t>在医疗美容、口腔诊所、住宿场所、放射诊疗场所等重点业务领域</w:t>
      </w:r>
      <w:r>
        <w:rPr>
          <w:rFonts w:hint="eastAsia" w:ascii="Times New Roman" w:hAnsi="Times New Roman" w:cs="Times New Roman"/>
          <w:lang w:eastAsia="zh-CN"/>
        </w:rPr>
        <w:t>，</w:t>
      </w:r>
      <w:r>
        <w:rPr>
          <w:rFonts w:hint="default" w:cs="Times New Roman"/>
        </w:rPr>
        <w:t>探索建立高效率、可追溯、智慧化的智慧监管新模式</w:t>
      </w:r>
      <w:r>
        <w:rPr>
          <w:rFonts w:hint="eastAsia" w:ascii="Times New Roman" w:hAnsi="Times New Roman" w:cs="Times New Roman"/>
          <w:lang w:eastAsia="zh-CN"/>
        </w:rPr>
        <w:t>，</w:t>
      </w:r>
      <w:r>
        <w:rPr>
          <w:rFonts w:hint="default" w:cs="Times New Roman"/>
          <w:lang w:val="en-US" w:eastAsia="zh-CN"/>
        </w:rPr>
        <w:t>进一步提升</w:t>
      </w:r>
      <w:r>
        <w:rPr>
          <w:rFonts w:hint="eastAsia" w:ascii="Times New Roman" w:hAnsi="Times New Roman" w:cs="Times New Roman"/>
          <w:lang w:val="en-US" w:eastAsia="zh-CN"/>
        </w:rPr>
        <w:t>医疗</w:t>
      </w:r>
      <w:r>
        <w:rPr>
          <w:rFonts w:hint="default" w:cs="Times New Roman"/>
          <w:lang w:val="en-US" w:eastAsia="zh-CN"/>
        </w:rPr>
        <w:t>监管效能。</w:t>
      </w:r>
    </w:p>
    <w:p>
      <w:pPr>
        <w:pStyle w:val="4"/>
        <w:bidi w:val="0"/>
        <w:rPr>
          <w:rFonts w:hint="default" w:ascii="Times New Roman" w:hAnsi="Times New Roman" w:cs="Times New Roman"/>
          <w:lang w:val="en-US" w:eastAsia="zh-CN"/>
        </w:rPr>
      </w:pPr>
      <w:r>
        <w:rPr>
          <w:rFonts w:hint="default" w:cs="Times New Roman"/>
          <w:lang w:val="en-US" w:eastAsia="zh-CN"/>
        </w:rPr>
        <w:t>五、建强医疗</w:t>
      </w:r>
      <w:r>
        <w:rPr>
          <w:rFonts w:hint="default" w:ascii="Times New Roman" w:hAnsi="Times New Roman" w:cs="Times New Roman"/>
          <w:lang w:val="en-US" w:eastAsia="zh-CN"/>
        </w:rPr>
        <w:t>人才队伍</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坚持以人才培训和梯队建设为引擎，打造“名院带名科、名医驻基层”服务链，落实人才引进和激励政策，积极开展对口支援帮扶基层医疗卫生机构工作，鼓励和支持优秀卫生专业技术人才扎根基层。以临床需求为导向培养医学人才，以基层为重点发展壮大医疗卫生队伍。扩充全科、儿科、外科、麻醉等医疗卫生资源，提升服务水平。促进医疗机构与公共卫生机构人员通、信息通、资源通，大力培养防治兼备的复合型人才</w:t>
      </w:r>
      <w:r>
        <w:rPr>
          <w:rFonts w:hint="default" w:cs="Times New Roman"/>
          <w:lang w:val="en-US" w:eastAsia="zh-CN"/>
        </w:rPr>
        <w:t>。开展基层卫生慢病管理培训，组织西学中培训，持续推进“一村一名大学生”乡村医生定向委托培养工作。</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38" w:name="_Toc32045"/>
      <w:r>
        <w:rPr>
          <w:rFonts w:hint="default" w:ascii="Times New Roman" w:hAnsi="Times New Roman" w:eastAsia="黑体" w:cs="Times New Roman"/>
          <w:b w:val="0"/>
          <w:bCs/>
          <w:lang w:val="en-US" w:eastAsia="zh-CN"/>
        </w:rPr>
        <w:t>第四节 完善“一老一小”服务体系</w:t>
      </w:r>
      <w:bookmarkEnd w:id="138"/>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一、加强养老服务供给</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打造嵌入式养老服务机构（综合体），推动养老机构专业服务向社区和家庭延伸，满足老年人就近养老的需求。做实老年健康服务，推进老年医院﹑护理院（中心、站）、安宁疗护机构建设。规范开展经济困难失能老年人集中照护工作</w:t>
      </w:r>
      <w:r>
        <w:rPr>
          <w:rFonts w:hint="default" w:cs="Times New Roman"/>
          <w:lang w:val="en-US" w:eastAsia="zh-CN"/>
        </w:rPr>
        <w:t>，</w:t>
      </w:r>
      <w:r>
        <w:rPr>
          <w:rFonts w:hint="default" w:ascii="Times New Roman" w:hAnsi="Times New Roman" w:cs="Times New Roman"/>
          <w:lang w:val="en-US" w:eastAsia="zh-CN"/>
        </w:rPr>
        <w:t>精准选点、建设并运营好老年食堂（助餐点），全面建立助餐服务网络</w:t>
      </w:r>
      <w:r>
        <w:rPr>
          <w:rFonts w:hint="default" w:cs="Times New Roman"/>
          <w:lang w:val="en-US" w:eastAsia="zh-CN"/>
        </w:rPr>
        <w:t>，</w:t>
      </w:r>
      <w:r>
        <w:rPr>
          <w:rFonts w:hint="default" w:ascii="Times New Roman" w:hAnsi="Times New Roman" w:cs="Times New Roman"/>
          <w:lang w:val="en-US" w:eastAsia="zh-CN"/>
        </w:rPr>
        <w:t>持续开展为老服务项目，持续创建全国、全省示范性老年友好型社区。推进农村养老服务改革，推进敬老院资源整合、委托运营，完善激励考核机制，多措并举提升入住率，探索农村敬老院区级统一管理运行机制，推进社区居家养老试点</w:t>
      </w:r>
      <w:r>
        <w:rPr>
          <w:rFonts w:hint="default" w:cs="Times New Roman"/>
          <w:lang w:val="en-US" w:eastAsia="zh-CN"/>
        </w:rPr>
        <w:t>，</w:t>
      </w:r>
      <w:r>
        <w:rPr>
          <w:rFonts w:hint="default" w:ascii="Times New Roman" w:hAnsi="Times New Roman" w:cs="Times New Roman"/>
          <w:lang w:val="en-US" w:eastAsia="zh-CN"/>
        </w:rPr>
        <w:t>探索以村级养老服务站为载体，推动农村互助养老走深走实</w:t>
      </w:r>
      <w:r>
        <w:rPr>
          <w:rFonts w:hint="default" w:cs="Times New Roman"/>
          <w:lang w:val="en-US" w:eastAsia="zh-CN"/>
        </w:rPr>
        <w:t>，</w:t>
      </w:r>
      <w:r>
        <w:rPr>
          <w:rFonts w:hint="default" w:ascii="Times New Roman" w:hAnsi="Times New Roman" w:cs="Times New Roman"/>
          <w:lang w:val="en-US" w:eastAsia="zh-CN"/>
        </w:rPr>
        <w:t>加快农村幸福院建设，加快敬老院与卫生院开展医养合作。</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二、加强托育服务体系建设</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以公办园和民办普惠园为依托，多渠道提供普惠托育服务，降低群众托育成本，将“安心托幼”行动落到实处。加快构建以托育综合服务中心为枢纽，以托育机构、社区嵌入式托育、幼儿园托班等为网络的“1+N”托育服务体系，提供方便可及、价格可接受、质量有保障的普惠托育服务。深入实施儿童友好城市建设三年行动计划，加快示范性托育服务机构、医疗机构托育点和</w:t>
      </w:r>
      <w:r>
        <w:rPr>
          <w:rFonts w:hint="eastAsia" w:ascii="Times New Roman" w:hAnsi="Times New Roman" w:cs="Times New Roman"/>
          <w:lang w:val="en-US" w:eastAsia="zh-CN"/>
        </w:rPr>
        <w:t>区</w:t>
      </w:r>
      <w:r>
        <w:rPr>
          <w:rFonts w:hint="default" w:ascii="Times New Roman" w:hAnsi="Times New Roman" w:cs="Times New Roman"/>
          <w:lang w:val="en-US" w:eastAsia="zh-CN"/>
        </w:rPr>
        <w:t>级公办独立托育服务机构等重点类型托育机构建设。完善困境儿童服务体系，做好流动儿童和留守儿童监测摸排和统计分析</w:t>
      </w:r>
      <w:r>
        <w:rPr>
          <w:rFonts w:hint="default" w:cs="Times New Roman"/>
          <w:lang w:val="en-US" w:eastAsia="zh-CN"/>
        </w:rPr>
        <w:t>，</w:t>
      </w:r>
      <w:r>
        <w:rPr>
          <w:rFonts w:hint="default" w:ascii="Times New Roman" w:hAnsi="Times New Roman" w:cs="Times New Roman"/>
          <w:lang w:val="en-US" w:eastAsia="zh-CN"/>
        </w:rPr>
        <w:t>落实孤儿和事实无人抚养儿童基本生活自然增长机制</w:t>
      </w:r>
      <w:r>
        <w:rPr>
          <w:rFonts w:hint="default" w:cs="Times New Roman"/>
          <w:lang w:val="en-US" w:eastAsia="zh-CN"/>
        </w:rPr>
        <w:t>，</w:t>
      </w:r>
      <w:r>
        <w:rPr>
          <w:rFonts w:hint="default" w:ascii="Times New Roman" w:hAnsi="Times New Roman" w:cs="Times New Roman"/>
          <w:lang w:val="en-US" w:eastAsia="zh-CN"/>
        </w:rPr>
        <w:t>开展农村留守儿童和困境儿童关爱服务质量提升行动</w:t>
      </w:r>
      <w:r>
        <w:rPr>
          <w:rFonts w:hint="default" w:cs="Times New Roman"/>
          <w:lang w:val="en-US" w:eastAsia="zh-CN"/>
        </w:rPr>
        <w:t>，</w:t>
      </w:r>
      <w:r>
        <w:rPr>
          <w:rFonts w:hint="default" w:ascii="Times New Roman" w:hAnsi="Times New Roman" w:cs="Times New Roman"/>
          <w:lang w:val="en-US" w:eastAsia="zh-CN"/>
        </w:rPr>
        <w:t>加强困境儿童心理关爱，构建“家庭+学校+机构+社区+慈善力量”相互衔接的关爱服务体系。</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39" w:name="_Toc5849"/>
      <w:r>
        <w:rPr>
          <w:rFonts w:hint="default" w:ascii="Times New Roman" w:hAnsi="Times New Roman" w:eastAsia="黑体" w:cs="Times New Roman"/>
          <w:b w:val="0"/>
          <w:bCs/>
          <w:lang w:val="en-US" w:eastAsia="zh-CN"/>
        </w:rPr>
        <w:t>第五节 织密多层次社会保障网</w:t>
      </w:r>
      <w:bookmarkEnd w:id="139"/>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w:t>
      </w:r>
      <w:r>
        <w:rPr>
          <w:rFonts w:hint="eastAsia" w:cs="Times New Roman"/>
          <w:lang w:val="en-US" w:eastAsia="zh-CN"/>
        </w:rPr>
        <w:t>完善</w:t>
      </w:r>
      <w:r>
        <w:rPr>
          <w:rFonts w:hint="default" w:ascii="Times New Roman" w:hAnsi="Times New Roman" w:cs="Times New Roman"/>
          <w:lang w:val="en-US" w:eastAsia="zh-CN"/>
        </w:rPr>
        <w:t>社会保障体系建设</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实施全民参保攻坚行动计划，加大社会保险宣传力度，提高居民参保意识，扩大社会保险覆盖面，实现应保尽保</w:t>
      </w:r>
      <w:r>
        <w:rPr>
          <w:rFonts w:hint="eastAsia" w:cs="Times New Roman"/>
          <w:lang w:val="en-US" w:eastAsia="zh-CN"/>
        </w:rPr>
        <w:t>，</w:t>
      </w:r>
      <w:r>
        <w:rPr>
          <w:rFonts w:hint="default" w:ascii="Times New Roman" w:hAnsi="Times New Roman" w:cs="Times New Roman"/>
          <w:lang w:val="en-US" w:eastAsia="zh-CN"/>
        </w:rPr>
        <w:t>大力推进灵活就业人员、个体工商户、新业态从业人员等群体参保工作。落实基本养老、基本医疗保障筹资和待遇调整机制，完善大病保险和医疗救助制度。落实国家2.0版分组规范要求，探索推动改革向门诊慢特病、大病保险等方向提质扩面，以公立医院改革和高质量发展为契机，全面学习“三明医改”经验做法，积极参与三明采购联盟，落实药品耗材集采成果。落实基本医保省级统筹政策，有序推进长护险制度建设，持续落实门诊慢特病、生育等政策，支持“皖惠保”等商业保险发展。</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二、落实分层分类社会救助</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健全社会救助体系，加强对低保、特困人员、残疾人等困难群体的救助帮扶，提高救助标准，做到精准救助</w:t>
      </w:r>
      <w:r>
        <w:rPr>
          <w:rFonts w:hint="eastAsia" w:cs="Times New Roman"/>
          <w:lang w:val="en-US" w:eastAsia="zh-CN"/>
        </w:rPr>
        <w:t>。</w:t>
      </w:r>
      <w:r>
        <w:rPr>
          <w:rFonts w:hint="default" w:ascii="Times New Roman" w:hAnsi="Times New Roman" w:cs="Times New Roman"/>
          <w:lang w:val="en-US" w:eastAsia="zh-CN"/>
        </w:rPr>
        <w:t>推动救急难互助社和社区（村）基金等有效衔接，落实临时救助备用金制度。不断强化救助工作机制，发挥“大数据比对+铁脚板摸排”作用，将走访、发现困难群众列为居村组织重要工作，对社区内的困难群众重点关注、定期走访、及时服务。建立困难群众救助需求综合评估体系，完善规范的评估和转介流程，实现困难对象“需求统一评估、对象统一认定、结果多方应用、救助综合实施”。推行“物质+服务”救助模式，促进救助服务项目与困难群众需求精准对接。完善低收入人口动态监测信息平台数据源，实现动态监测预警全覆盖。发展社会福利和慈善事业，鼓励社会力量参与救助帮扶</w:t>
      </w:r>
      <w:r>
        <w:rPr>
          <w:rFonts w:hint="eastAsia" w:cs="Times New Roman"/>
          <w:lang w:val="en-US" w:eastAsia="zh-CN"/>
        </w:rPr>
        <w:t>，</w:t>
      </w:r>
      <w:r>
        <w:rPr>
          <w:rFonts w:hint="default" w:ascii="Times New Roman" w:hAnsi="Times New Roman" w:cs="Times New Roman"/>
          <w:lang w:val="en-US" w:eastAsia="zh-CN"/>
        </w:rPr>
        <w:t>创新政府救助+慈善帮扶+自助互助模式，完善农村留守儿童、困境儿童、孤儿、重病患者以及老年人</w:t>
      </w:r>
      <w:r>
        <w:rPr>
          <w:rFonts w:hint="eastAsia" w:cs="Times New Roman"/>
          <w:lang w:val="en-US" w:eastAsia="zh-CN"/>
        </w:rPr>
        <w:t>、</w:t>
      </w:r>
      <w:r>
        <w:rPr>
          <w:rFonts w:hint="default" w:ascii="Times New Roman" w:hAnsi="Times New Roman" w:cs="Times New Roman"/>
          <w:lang w:val="en-US" w:eastAsia="zh-CN"/>
        </w:rPr>
        <w:t>残疾人等重点人群社会福利和保障体系，做好残疾人两项补贴动态管理</w:t>
      </w:r>
      <w:r>
        <w:rPr>
          <w:rFonts w:hint="eastAsia" w:cs="Times New Roman"/>
          <w:lang w:val="en-US" w:eastAsia="zh-CN"/>
        </w:rPr>
        <w:t>，</w:t>
      </w:r>
      <w:r>
        <w:rPr>
          <w:rFonts w:hint="default" w:ascii="Times New Roman" w:hAnsi="Times New Roman" w:cs="Times New Roman"/>
          <w:lang w:val="en-US" w:eastAsia="zh-CN"/>
        </w:rPr>
        <w:t>持续开展精神障碍患者社区康复服务“精康融合行动”</w:t>
      </w:r>
      <w:r>
        <w:rPr>
          <w:rFonts w:hint="eastAsia" w:cs="Times New Roman"/>
          <w:lang w:val="en-US" w:eastAsia="zh-CN"/>
        </w:rPr>
        <w:t>，</w:t>
      </w:r>
      <w:r>
        <w:rPr>
          <w:rFonts w:hint="default" w:ascii="Times New Roman" w:hAnsi="Times New Roman" w:cs="Times New Roman"/>
          <w:lang w:val="en-US" w:eastAsia="zh-CN"/>
        </w:rPr>
        <w:t>提升流浪乞讨人员救助管理服务效能，强化源头预防和落户安置工作。</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40" w:name="_Toc32736"/>
      <w:r>
        <w:rPr>
          <w:rFonts w:hint="default" w:ascii="Times New Roman" w:hAnsi="Times New Roman" w:eastAsia="黑体" w:cs="Times New Roman"/>
          <w:b w:val="0"/>
          <w:bCs/>
          <w:lang w:val="en-US" w:eastAsia="zh-CN"/>
        </w:rPr>
        <w:t>第六节 统筹其他社会事业发展</w:t>
      </w:r>
      <w:bookmarkEnd w:id="140"/>
    </w:p>
    <w:p>
      <w:pPr>
        <w:bidi w:val="0"/>
        <w:rPr>
          <w:rFonts w:hint="default" w:ascii="Times New Roman" w:hAnsi="Times New Roman" w:cs="Times New Roman"/>
          <w:highlight w:val="none"/>
          <w:lang w:val="en-US" w:eastAsia="zh-CN"/>
        </w:rPr>
      </w:pPr>
      <w:r>
        <w:rPr>
          <w:rFonts w:hint="eastAsia" w:ascii="Times New Roman" w:hAnsi="Times New Roman" w:cs="Times New Roman"/>
          <w:lang w:val="en-US" w:eastAsia="zh-CN"/>
        </w:rPr>
        <w:t>持续</w:t>
      </w:r>
      <w:r>
        <w:rPr>
          <w:rFonts w:hint="default" w:ascii="Times New Roman" w:hAnsi="Times New Roman" w:cs="Times New Roman"/>
          <w:lang w:val="en-US" w:eastAsia="zh-CN"/>
        </w:rPr>
        <w:t>深化婚俗改革，强化婚姻家庭辅导教育</w:t>
      </w:r>
      <w:r>
        <w:rPr>
          <w:rFonts w:hint="eastAsia" w:cs="Times New Roman"/>
          <w:lang w:val="en-US" w:eastAsia="zh-CN"/>
        </w:rPr>
        <w:t>，</w:t>
      </w:r>
      <w:r>
        <w:rPr>
          <w:rFonts w:hint="default" w:ascii="Times New Roman" w:hAnsi="Times New Roman" w:cs="Times New Roman"/>
          <w:lang w:val="en-US" w:eastAsia="zh-CN"/>
        </w:rPr>
        <w:t>有效提升婚姻服务质量</w:t>
      </w:r>
      <w:r>
        <w:rPr>
          <w:rFonts w:hint="eastAsia" w:cs="Times New Roman"/>
          <w:lang w:val="en-US" w:eastAsia="zh-CN"/>
        </w:rPr>
        <w:t>。</w:t>
      </w:r>
      <w:r>
        <w:rPr>
          <w:rFonts w:hint="default" w:ascii="Times New Roman" w:hAnsi="Times New Roman" w:cs="Times New Roman"/>
          <w:lang w:val="en-US" w:eastAsia="zh-CN"/>
        </w:rPr>
        <w:t>完善殡葬基本公共服务</w:t>
      </w:r>
      <w:r>
        <w:rPr>
          <w:rFonts w:hint="eastAsia" w:cs="Times New Roman"/>
          <w:lang w:val="en-US" w:eastAsia="zh-CN"/>
        </w:rPr>
        <w:t>，</w:t>
      </w:r>
      <w:r>
        <w:rPr>
          <w:rFonts w:hint="default" w:ascii="Times New Roman" w:hAnsi="Times New Roman" w:cs="Times New Roman"/>
          <w:lang w:val="en-US" w:eastAsia="zh-CN"/>
        </w:rPr>
        <w:t>推进殡仪馆改造提升，加快公益性公墓建设。加强全民国防教育，完善新时代国防动员体系，推进双拥工作，巩固军政军民团结，强化退役军人管理保障，扎实做好武</w:t>
      </w:r>
      <w:r>
        <w:rPr>
          <w:rFonts w:hint="eastAsia" w:ascii="Times New Roman" w:hAnsi="Times New Roman" w:cs="Times New Roman"/>
          <w:lang w:val="en-US" w:eastAsia="zh-CN"/>
        </w:rPr>
        <w:t>装</w:t>
      </w:r>
      <w:r>
        <w:rPr>
          <w:rFonts w:hint="default" w:ascii="Times New Roman" w:hAnsi="Times New Roman" w:cs="Times New Roman"/>
          <w:lang w:val="en-US" w:eastAsia="zh-CN"/>
        </w:rPr>
        <w:t>、双拥、人民防空等工作。加强宗教事务管理，推动民族团结进步。</w:t>
      </w:r>
      <w:r>
        <w:rPr>
          <w:rFonts w:hint="default" w:ascii="Times New Roman" w:hAnsi="Times New Roman" w:cs="Times New Roman"/>
          <w:highlight w:val="none"/>
          <w:lang w:val="en-US" w:eastAsia="zh-CN"/>
        </w:rPr>
        <w:t>支持工会、共青团、妇联等人民团体更好发挥桥梁纽带作用，</w:t>
      </w:r>
      <w:r>
        <w:rPr>
          <w:rFonts w:hint="eastAsia" w:ascii="Times New Roman" w:hAnsi="Times New Roman" w:cs="Times New Roman"/>
          <w:highlight w:val="none"/>
          <w:lang w:val="en-US" w:eastAsia="zh-CN"/>
        </w:rPr>
        <w:t>稳妥推进</w:t>
      </w:r>
      <w:r>
        <w:rPr>
          <w:rFonts w:hint="default" w:ascii="Times New Roman" w:hAnsi="Times New Roman" w:cs="Times New Roman"/>
          <w:highlight w:val="none"/>
          <w:lang w:val="en-US" w:eastAsia="zh-CN"/>
        </w:rPr>
        <w:t>妇女儿童、老龄、档案等各项事业发展</w:t>
      </w:r>
      <w:r>
        <w:rPr>
          <w:rFonts w:hint="default" w:cs="Times New Roman"/>
          <w:highlight w:val="none"/>
          <w:lang w:val="en-US" w:eastAsia="zh-CN"/>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top"/>
          </w:tcPr>
          <w:p>
            <w:pPr>
              <w:pStyle w:val="5"/>
              <w:bidi w:val="0"/>
              <w:rPr>
                <w:rFonts w:hint="default" w:ascii="Times New Roman" w:hAnsi="Times New Roman" w:eastAsia="宋体" w:cs="Times New Roman"/>
                <w:b/>
                <w:bCs/>
                <w:color w:val="auto"/>
                <w:szCs w:val="28"/>
              </w:rPr>
            </w:pPr>
            <w:bookmarkStart w:id="141" w:name="_Toc3323"/>
            <w:r>
              <w:rPr>
                <w:rFonts w:hint="default" w:cs="Times New Roman"/>
              </w:rPr>
              <w:t>专栏</w:t>
            </w:r>
            <w:r>
              <w:rPr>
                <w:rFonts w:hint="default" w:cs="Times New Roman"/>
                <w:lang w:val="en-US" w:eastAsia="zh-CN"/>
              </w:rPr>
              <w:t>13</w:t>
            </w:r>
            <w:r>
              <w:rPr>
                <w:rFonts w:hint="default" w:cs="Times New Roman"/>
              </w:rPr>
              <w:t xml:space="preserve"> </w:t>
            </w:r>
            <w:r>
              <w:rPr>
                <w:rFonts w:hint="default" w:cs="Times New Roman"/>
                <w:lang w:val="en-US" w:eastAsia="zh-CN"/>
              </w:rPr>
              <w:t>社会民生领域</w:t>
            </w:r>
            <w:r>
              <w:rPr>
                <w:rFonts w:hint="default" w:cs="Times New Roman"/>
              </w:rPr>
              <w:t>重点项目</w:t>
            </w:r>
            <w:bookmarkEnd w:id="1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top"/>
          </w:tcPr>
          <w:p>
            <w:pPr>
              <w:adjustRightInd w:val="0"/>
              <w:snapToGrid w:val="0"/>
              <w:spacing w:after="0" w:line="600" w:lineRule="exact"/>
              <w:ind w:firstLine="562" w:firstLineChars="200"/>
              <w:jc w:val="both"/>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color w:val="auto"/>
                <w:sz w:val="28"/>
                <w:szCs w:val="28"/>
                <w:lang w:val="en-US" w:eastAsia="zh-CN"/>
              </w:rPr>
              <w:t>教育</w:t>
            </w:r>
            <w:r>
              <w:rPr>
                <w:rFonts w:hint="default" w:ascii="Times New Roman" w:hAnsi="Times New Roman" w:cs="Times New Roman"/>
                <w:color w:val="auto"/>
                <w:sz w:val="28"/>
                <w:szCs w:val="28"/>
                <w:lang w:eastAsia="zh-CN"/>
              </w:rPr>
              <w:t>。</w:t>
            </w:r>
            <w:r>
              <w:rPr>
                <w:rFonts w:hint="default" w:ascii="Times New Roman" w:hAnsi="Times New Roman" w:eastAsia="仿宋_GB2312" w:cs="Times New Roman"/>
                <w:color w:val="auto"/>
                <w:sz w:val="28"/>
                <w:szCs w:val="28"/>
              </w:rPr>
              <w:t>潘集区珠江路搬迁安置九年一贯制学校项目</w:t>
            </w:r>
            <w:r>
              <w:rPr>
                <w:rFonts w:hint="default" w:ascii="Times New Roman" w:hAnsi="Times New Roman" w:eastAsia="仿宋_GB2312" w:cs="Times New Roman"/>
                <w:color w:val="auto"/>
                <w:sz w:val="28"/>
                <w:szCs w:val="28"/>
                <w:lang w:eastAsia="zh-CN"/>
              </w:rPr>
              <w:t>、联合大学扩建项目</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淮南市潘集区新城中学建设项目、潘集区第一小学</w:t>
            </w:r>
            <w:r>
              <w:rPr>
                <w:rFonts w:hint="default" w:ascii="Times New Roman" w:hAnsi="Times New Roman" w:cs="Times New Roman"/>
                <w:color w:val="auto"/>
                <w:sz w:val="28"/>
                <w:szCs w:val="28"/>
                <w:lang w:val="en-US" w:eastAsia="zh-CN"/>
              </w:rPr>
              <w:t>和</w:t>
            </w:r>
            <w:r>
              <w:rPr>
                <w:rFonts w:hint="default" w:ascii="Times New Roman" w:hAnsi="Times New Roman" w:eastAsia="仿宋_GB2312" w:cs="Times New Roman"/>
                <w:color w:val="auto"/>
                <w:sz w:val="28"/>
                <w:szCs w:val="28"/>
                <w:lang w:eastAsia="zh-CN"/>
              </w:rPr>
              <w:t>实验中学改扩建项目、贺疃中学改扩建。</w:t>
            </w:r>
          </w:p>
          <w:p>
            <w:pPr>
              <w:adjustRightInd w:val="0"/>
              <w:snapToGrid w:val="0"/>
              <w:spacing w:after="0" w:line="600" w:lineRule="exact"/>
              <w:ind w:firstLine="562" w:firstLineChars="200"/>
              <w:jc w:val="both"/>
              <w:rPr>
                <w:rFonts w:hint="default" w:ascii="Times New Roman" w:hAnsi="Times New Roman" w:eastAsia="仿宋_GB2312" w:cs="Times New Roman"/>
                <w:b w:val="0"/>
                <w:bCs/>
                <w:color w:val="auto"/>
                <w:sz w:val="28"/>
                <w:szCs w:val="28"/>
                <w:lang w:val="en-US" w:eastAsia="zh-CN"/>
              </w:rPr>
            </w:pPr>
            <w:r>
              <w:rPr>
                <w:rFonts w:hint="default" w:ascii="Times New Roman" w:hAnsi="Times New Roman" w:eastAsia="仿宋_GB2312" w:cs="Times New Roman"/>
                <w:b/>
                <w:color w:val="auto"/>
                <w:sz w:val="28"/>
                <w:szCs w:val="28"/>
                <w:lang w:val="en-US" w:eastAsia="zh-CN"/>
              </w:rPr>
              <w:t>医疗</w:t>
            </w:r>
            <w:r>
              <w:rPr>
                <w:rFonts w:hint="default" w:ascii="Times New Roman" w:hAnsi="Times New Roman" w:cs="Times New Roman"/>
                <w:b/>
                <w:color w:val="auto"/>
                <w:sz w:val="28"/>
                <w:szCs w:val="28"/>
                <w:lang w:val="en-US" w:eastAsia="zh-CN"/>
              </w:rPr>
              <w:t>及养老</w:t>
            </w:r>
            <w:r>
              <w:rPr>
                <w:rFonts w:hint="default" w:ascii="Times New Roman" w:hAnsi="Times New Roman" w:cs="Times New Roman"/>
                <w:b/>
                <w:color w:val="auto"/>
                <w:sz w:val="28"/>
                <w:szCs w:val="28"/>
                <w:lang w:eastAsia="zh-CN"/>
              </w:rPr>
              <w:t>。</w:t>
            </w:r>
            <w:r>
              <w:rPr>
                <w:rFonts w:hint="default" w:ascii="Times New Roman" w:hAnsi="Times New Roman" w:eastAsia="仿宋_GB2312" w:cs="Times New Roman"/>
                <w:color w:val="auto"/>
                <w:sz w:val="28"/>
                <w:szCs w:val="28"/>
              </w:rPr>
              <w:t>淮南市第五人民医院住院部病房改造提升项目</w:t>
            </w:r>
            <w:r>
              <w:rPr>
                <w:rFonts w:hint="default" w:ascii="Times New Roman" w:hAnsi="Times New Roman" w:cs="Times New Roman"/>
                <w:color w:val="auto"/>
                <w:sz w:val="28"/>
                <w:szCs w:val="28"/>
                <w:lang w:val="en-US" w:eastAsia="zh-CN"/>
              </w:rPr>
              <w:t>及</w:t>
            </w:r>
            <w:r>
              <w:rPr>
                <w:rFonts w:hint="default" w:ascii="Times New Roman" w:hAnsi="Times New Roman" w:eastAsia="仿宋_GB2312" w:cs="Times New Roman"/>
                <w:color w:val="auto"/>
                <w:sz w:val="28"/>
                <w:szCs w:val="28"/>
                <w:lang w:eastAsia="zh-CN"/>
              </w:rPr>
              <w:t>住院综合楼建设项目、潘集区医养结合医院建设项目（潘集区医疗次中心项目）、潘集区基层医疗卫生机构整体服务能力提标项目</w:t>
            </w:r>
            <w:r>
              <w:rPr>
                <w:rFonts w:hint="default" w:ascii="Times New Roman" w:hAnsi="Times New Roman" w:cs="Times New Roman"/>
                <w:color w:val="auto"/>
                <w:sz w:val="28"/>
                <w:szCs w:val="28"/>
                <w:lang w:eastAsia="zh-CN"/>
              </w:rPr>
              <w:t>、</w:t>
            </w:r>
            <w:r>
              <w:rPr>
                <w:rFonts w:hint="default" w:ascii="Times New Roman" w:hAnsi="Times New Roman" w:eastAsia="仿宋_GB2312" w:cs="Times New Roman"/>
                <w:b w:val="0"/>
                <w:bCs/>
                <w:color w:val="auto"/>
                <w:sz w:val="28"/>
                <w:szCs w:val="28"/>
                <w:lang w:val="en-US" w:eastAsia="zh-CN"/>
              </w:rPr>
              <w:t>潘集区养老公寓建设</w:t>
            </w:r>
            <w:r>
              <w:rPr>
                <w:rFonts w:hint="default" w:ascii="Times New Roman" w:hAnsi="Times New Roman" w:cs="Times New Roman"/>
                <w:b w:val="0"/>
                <w:bCs/>
                <w:color w:val="auto"/>
                <w:sz w:val="28"/>
                <w:szCs w:val="28"/>
                <w:lang w:val="en-US" w:eastAsia="zh-CN"/>
              </w:rPr>
              <w:t>。</w:t>
            </w:r>
          </w:p>
          <w:p>
            <w:pPr>
              <w:adjustRightInd w:val="0"/>
              <w:snapToGrid w:val="0"/>
              <w:spacing w:after="0" w:line="600" w:lineRule="exact"/>
              <w:ind w:firstLine="562" w:firstLineChars="200"/>
              <w:jc w:val="both"/>
              <w:rPr>
                <w:rFonts w:hint="default" w:ascii="Times New Roman" w:hAnsi="Times New Roman" w:cs="Times New Roman"/>
                <w:color w:val="auto"/>
                <w:sz w:val="28"/>
                <w:szCs w:val="28"/>
              </w:rPr>
            </w:pPr>
            <w:r>
              <w:rPr>
                <w:rFonts w:hint="default" w:ascii="Times New Roman" w:hAnsi="Times New Roman" w:eastAsia="仿宋_GB2312" w:cs="Times New Roman"/>
                <w:b/>
                <w:color w:val="auto"/>
                <w:sz w:val="28"/>
                <w:szCs w:val="28"/>
                <w:lang w:val="en-US" w:eastAsia="zh-CN"/>
              </w:rPr>
              <w:t>其他社会事业</w:t>
            </w:r>
            <w:r>
              <w:rPr>
                <w:rFonts w:hint="default" w:ascii="Times New Roman" w:hAnsi="Times New Roman" w:cs="Times New Roman"/>
                <w:b/>
                <w:color w:val="auto"/>
                <w:sz w:val="28"/>
                <w:szCs w:val="28"/>
                <w:lang w:eastAsia="zh-CN"/>
              </w:rPr>
              <w:t>。</w:t>
            </w:r>
            <w:r>
              <w:rPr>
                <w:rFonts w:hint="default" w:ascii="Times New Roman" w:hAnsi="Times New Roman" w:eastAsia="仿宋_GB2312" w:cs="Times New Roman"/>
                <w:color w:val="auto"/>
                <w:sz w:val="28"/>
                <w:szCs w:val="28"/>
                <w:lang w:val="en-US" w:eastAsia="zh-CN"/>
              </w:rPr>
              <w:t>淮南市潘集区公益性公墓及殡仪馆改扩建项目。</w:t>
            </w:r>
          </w:p>
        </w:tc>
      </w:tr>
    </w:tbl>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2"/>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小标宋简体" w:cs="Times New Roman"/>
          <w:highlight w:val="none"/>
          <w:lang w:val="en-US" w:eastAsia="zh-CN"/>
        </w:rPr>
      </w:pPr>
      <w:bookmarkStart w:id="142" w:name="_Toc19159"/>
      <w:r>
        <w:rPr>
          <w:rFonts w:hint="default" w:ascii="Times New Roman" w:hAnsi="Times New Roman" w:eastAsia="方正小标宋简体" w:cs="Times New Roman"/>
          <w:highlight w:val="none"/>
          <w:lang w:val="en-US" w:eastAsia="zh-CN"/>
        </w:rPr>
        <w:t>第十三章 完善智治体系，构建平安法治</w:t>
      </w:r>
      <w:r>
        <w:rPr>
          <w:rFonts w:hint="eastAsia" w:eastAsia="方正小标宋简体" w:cs="Times New Roman"/>
          <w:highlight w:val="none"/>
          <w:lang w:val="en-US" w:eastAsia="zh-CN"/>
        </w:rPr>
        <w:t>潘集</w:t>
      </w:r>
      <w:r>
        <w:rPr>
          <w:rFonts w:hint="default" w:ascii="Times New Roman" w:hAnsi="Times New Roman" w:eastAsia="方正小标宋简体" w:cs="Times New Roman"/>
          <w:highlight w:val="none"/>
          <w:lang w:val="en-US" w:eastAsia="zh-CN"/>
        </w:rPr>
        <w:t>新模式</w:t>
      </w:r>
      <w:bookmarkEnd w:id="142"/>
    </w:p>
    <w:p>
      <w:pPr>
        <w:bidi w:val="0"/>
        <w:rPr>
          <w:rFonts w:hint="default" w:ascii="Times New Roman" w:hAnsi="Times New Roman" w:eastAsia="黑体" w:cs="Times New Roman"/>
          <w:b w:val="0"/>
          <w:bCs/>
          <w:lang w:val="en-US" w:eastAsia="zh-CN"/>
        </w:rPr>
      </w:pPr>
      <w:r>
        <w:rPr>
          <w:rFonts w:hint="default" w:ascii="Times New Roman" w:hAnsi="Times New Roman" w:cs="Times New Roman"/>
          <w:lang w:val="en-US" w:eastAsia="zh-CN"/>
        </w:rPr>
        <w:t>加强和创新社会治理，完善智治体系，全面推进法治政府、法治社会建设，构建平安法治善治新模式，使人民获得感、幸福感、安全感更加充实、更有保障、更可持续。</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43" w:name="_Toc7999"/>
      <w:r>
        <w:rPr>
          <w:rFonts w:hint="default" w:ascii="Times New Roman" w:hAnsi="Times New Roman" w:eastAsia="黑体" w:cs="Times New Roman"/>
          <w:b w:val="0"/>
          <w:bCs/>
          <w:lang w:val="en-US" w:eastAsia="zh-CN"/>
        </w:rPr>
        <w:t>第一节 全面推进法治潘集建设</w:t>
      </w:r>
      <w:bookmarkEnd w:id="143"/>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一、推动法治政府建设</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深入推进习近平法治思想学习宣传贯彻，提升领导干部尊法学法守法用法的能力。加大法治人才的培育和引进，推动关键岗位法学专业人才全覆盖。深化公共政策兑现和政府履约践诺专项行动，落实行政规范性文件“三统一”要求，强化对规范性文件的实质性审查</w:t>
      </w:r>
      <w:r>
        <w:rPr>
          <w:rFonts w:hint="eastAsia" w:cs="Times New Roman"/>
          <w:lang w:val="en-US" w:eastAsia="zh-CN"/>
        </w:rPr>
        <w:t>，</w:t>
      </w:r>
      <w:r>
        <w:rPr>
          <w:rFonts w:hint="default" w:ascii="Times New Roman" w:hAnsi="Times New Roman" w:cs="Times New Roman"/>
          <w:lang w:val="en-US" w:eastAsia="zh-CN"/>
        </w:rPr>
        <w:t>加大对涉企政策、文件的审查力度，对存在不平等对待企业的条款内容及时予以纠正。充分发挥行政复议化解行政争议主渠道作用，持续巩固主要负责人出庭应诉率。加大对行政执法人员的培训力度，持续提升行政执法人员的法治意识和法律素养。加大乡镇街道综合执法规范化建设，贯通赋权部门上下衔接，推进执法精密化。</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二、持续建设法治社会</w:t>
      </w:r>
    </w:p>
    <w:p>
      <w:pPr>
        <w:bidi w:val="0"/>
        <w:rPr>
          <w:rFonts w:hint="default" w:ascii="Times New Roman" w:hAnsi="Times New Roman" w:cs="Times New Roman"/>
          <w:lang w:val="en-US" w:eastAsia="zh-CN"/>
        </w:rPr>
      </w:pPr>
      <w:r>
        <w:rPr>
          <w:rFonts w:hint="eastAsia" w:ascii="Times New Roman" w:hAnsi="Times New Roman" w:cs="Times New Roman"/>
          <w:lang w:val="en-US" w:eastAsia="zh-CN"/>
        </w:rPr>
        <w:t>持续加强普法宣传</w:t>
      </w:r>
      <w:r>
        <w:rPr>
          <w:rFonts w:hint="default" w:ascii="Times New Roman" w:hAnsi="Times New Roman" w:cs="Times New Roman"/>
          <w:lang w:val="en-US" w:eastAsia="zh-CN"/>
        </w:rPr>
        <w:t>，继续推进“法律明白人”培养工程。加大法律援助法宣传力度，抓好法律援助案件质量管理。加大对“12348”法律服务热线宣传推广，持续推进“公证服务进村居（社区、企业园区）”创新活动。健全矛盾纠纷多元化解法治体系，完善人民调解、行政调解、司法调解联动机制，探索行业性、专业性调解组织建设，推动矛盾纠纷化解法治化。加强对基层执法人员的法治培训和监督，提升依法履职能力，保障群众合法权益。加强对社区矫正人员、刑满释放人员、吸毒人员、严重精神障碍患者等重点人群的服务管理与风险管控，建立“一人一档一策”动态管理体系。</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44" w:name="_Toc27597"/>
      <w:r>
        <w:rPr>
          <w:rFonts w:hint="default" w:ascii="Times New Roman" w:hAnsi="Times New Roman" w:eastAsia="黑体" w:cs="Times New Roman"/>
          <w:b w:val="0"/>
          <w:bCs/>
          <w:lang w:val="en-US" w:eastAsia="zh-CN"/>
        </w:rPr>
        <w:t>第二节 提升基层社会治理水平</w:t>
      </w:r>
      <w:bookmarkEnd w:id="144"/>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一、加强基层党建引领</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健全党组织领导的自治、法治、德治相结合的城乡基层治理体系。提升基层治理质效，完善党委领导、政府负责、民主协商、社会协同、公众参与、法治保障、科技支撑的社会治理体系。持续实施“书记领办基层治理项目”，探索基层社会治理新模式，推进基层党建全域提升见效。持续推进“三社联动”试点建设项目，通过培育社会组织、开展专业服务、实施公益创投，拓展群众服务的新领域、新内容，创新“志愿者+”服务模式，引导居民自觉、自主地参与社区事务管理，搭建共建共治共享的社会治理新格局。推动信访工作与网格化管理有机结合，将信访工作融入基层社会治理体系</w:t>
      </w:r>
      <w:r>
        <w:rPr>
          <w:rFonts w:hint="eastAsia" w:cs="Times New Roman"/>
          <w:lang w:val="en-US" w:eastAsia="zh-CN"/>
        </w:rPr>
        <w:t>。</w:t>
      </w:r>
      <w:r>
        <w:rPr>
          <w:rFonts w:hint="default" w:ascii="Times New Roman" w:hAnsi="Times New Roman" w:cs="Times New Roman"/>
          <w:lang w:val="en-US" w:eastAsia="zh-CN"/>
        </w:rPr>
        <w:t>加快推进综治中心规范化建设，提升矛盾纠纷预防化解法治化水平，力争做到群众“只进一扇门、最多跑一地”。选优配强村“两委”领导，加大对村“两委”成员、村级后备干部等村干部在政治素养和专业素质方面的培训力度，培养一支专业治理队伍。</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二、全面推广“六尺巷工作法”</w:t>
      </w:r>
    </w:p>
    <w:p>
      <w:pPr>
        <w:bidi w:val="0"/>
        <w:rPr>
          <w:rFonts w:hint="default" w:ascii="Times New Roman" w:hAnsi="Times New Roman" w:cs="Times New Roman"/>
          <w:lang w:val="en-US" w:eastAsia="zh-CN"/>
        </w:rPr>
      </w:pPr>
      <w:r>
        <w:rPr>
          <w:rFonts w:hint="eastAsia" w:ascii="Times New Roman" w:hAnsi="Times New Roman" w:cs="Times New Roman"/>
          <w:lang w:val="en-US" w:eastAsia="zh-CN"/>
        </w:rPr>
        <w:t>学习借鉴</w:t>
      </w:r>
      <w:r>
        <w:rPr>
          <w:rFonts w:hint="eastAsia" w:cs="Times New Roman"/>
        </w:rPr>
        <w:t>“</w:t>
      </w:r>
      <w:r>
        <w:rPr>
          <w:rFonts w:hint="eastAsia" w:cs="Times New Roman"/>
          <w:lang w:val="en-US" w:eastAsia="zh-CN"/>
        </w:rPr>
        <w:t>新时代</w:t>
      </w:r>
      <w:r>
        <w:rPr>
          <w:rFonts w:hint="eastAsia" w:cs="Times New Roman"/>
        </w:rPr>
        <w:t>六尺巷工作法”</w:t>
      </w:r>
      <w:r>
        <w:rPr>
          <w:rFonts w:hint="eastAsia" w:ascii="Times New Roman" w:hAnsi="Times New Roman" w:cs="Times New Roman"/>
          <w:lang w:val="en-US" w:eastAsia="zh-CN"/>
        </w:rPr>
        <w:t>优秀经验，</w:t>
      </w:r>
      <w:r>
        <w:rPr>
          <w:rFonts w:hint="default" w:ascii="Times New Roman" w:hAnsi="Times New Roman" w:cs="Times New Roman"/>
          <w:lang w:val="en-US" w:eastAsia="zh-CN"/>
        </w:rPr>
        <w:t>整合基层矛盾纠纷化解资源和力量，</w:t>
      </w:r>
      <w:r>
        <w:rPr>
          <w:rFonts w:hint="eastAsia" w:ascii="Times New Roman" w:hAnsi="Times New Roman" w:cs="Times New Roman"/>
          <w:lang w:val="en-US" w:eastAsia="zh-CN"/>
        </w:rPr>
        <w:t>结合潘集区实际</w:t>
      </w:r>
      <w:r>
        <w:rPr>
          <w:rFonts w:hint="default" w:ascii="Times New Roman" w:hAnsi="Times New Roman" w:cs="Times New Roman"/>
          <w:lang w:val="en-US" w:eastAsia="zh-CN"/>
        </w:rPr>
        <w:t>积极探索常态化矛盾纠纷排查化解工作</w:t>
      </w:r>
      <w:r>
        <w:rPr>
          <w:rFonts w:hint="eastAsia" w:ascii="Times New Roman" w:hAnsi="Times New Roman" w:cs="Times New Roman"/>
          <w:lang w:val="en-US" w:eastAsia="zh-CN"/>
        </w:rPr>
        <w:t>新</w:t>
      </w:r>
      <w:r>
        <w:rPr>
          <w:rFonts w:hint="default" w:ascii="Times New Roman" w:hAnsi="Times New Roman" w:cs="Times New Roman"/>
          <w:lang w:val="en-US" w:eastAsia="zh-CN"/>
        </w:rPr>
        <w:t>机制</w:t>
      </w:r>
      <w:r>
        <w:rPr>
          <w:rFonts w:hint="eastAsia" w:ascii="Times New Roman" w:hAnsi="Times New Roman" w:cs="Times New Roman"/>
          <w:lang w:val="en-US" w:eastAsia="zh-CN"/>
        </w:rPr>
        <w:t>、新模式</w:t>
      </w:r>
      <w:r>
        <w:rPr>
          <w:rFonts w:hint="default" w:ascii="Times New Roman" w:hAnsi="Times New Roman" w:cs="Times New Roman"/>
          <w:lang w:val="en-US" w:eastAsia="zh-CN"/>
        </w:rPr>
        <w:t>，</w:t>
      </w:r>
      <w:r>
        <w:rPr>
          <w:rFonts w:hint="eastAsia" w:ascii="Times New Roman" w:hAnsi="Times New Roman" w:cs="Times New Roman"/>
          <w:lang w:val="en-US" w:eastAsia="zh-CN"/>
        </w:rPr>
        <w:t>全面</w:t>
      </w:r>
      <w:r>
        <w:rPr>
          <w:rFonts w:hint="default" w:ascii="Times New Roman" w:hAnsi="Times New Roman" w:cs="Times New Roman"/>
          <w:lang w:val="en-US" w:eastAsia="zh-CN"/>
        </w:rPr>
        <w:t>提升社会风险防范化解能力和水平。持续推深做实“和盼调解工作室”，</w:t>
      </w:r>
      <w:r>
        <w:rPr>
          <w:rFonts w:hint="eastAsia" w:ascii="Times New Roman" w:hAnsi="Times New Roman" w:cs="Times New Roman"/>
          <w:lang w:val="en-US" w:eastAsia="zh-CN"/>
        </w:rPr>
        <w:t>大力</w:t>
      </w:r>
      <w:r>
        <w:rPr>
          <w:rFonts w:hint="default" w:ascii="Times New Roman" w:hAnsi="Times New Roman" w:cs="Times New Roman"/>
          <w:lang w:val="en-US" w:eastAsia="zh-CN"/>
        </w:rPr>
        <w:t>推广特色“五步矛盾调解工作法”，</w:t>
      </w:r>
      <w:r>
        <w:rPr>
          <w:rFonts w:hint="eastAsia" w:ascii="Times New Roman" w:hAnsi="Times New Roman" w:cs="Times New Roman"/>
          <w:lang w:val="en-US" w:eastAsia="zh-CN"/>
        </w:rPr>
        <w:t>做优做响</w:t>
      </w:r>
      <w:r>
        <w:rPr>
          <w:rFonts w:hint="default" w:ascii="Times New Roman" w:hAnsi="Times New Roman" w:cs="Times New Roman"/>
          <w:lang w:val="en-US" w:eastAsia="zh-CN"/>
        </w:rPr>
        <w:t>“银龄调解室”、“‘孔大姐’婚姻家庭矛盾纠纷调解工作室”、“全国人大代表刘琴综治工作室”等调解品牌，</w:t>
      </w:r>
      <w:r>
        <w:rPr>
          <w:rFonts w:hint="eastAsia" w:ascii="Times New Roman" w:hAnsi="Times New Roman" w:cs="Times New Roman"/>
          <w:lang w:val="en-US" w:eastAsia="zh-CN"/>
        </w:rPr>
        <w:t>加快</w:t>
      </w:r>
      <w:r>
        <w:rPr>
          <w:rFonts w:hint="eastAsia" w:cs="Times New Roman"/>
        </w:rPr>
        <w:t>构建矛盾纠纷多元化解新格局</w:t>
      </w:r>
      <w:r>
        <w:rPr>
          <w:rFonts w:hint="default" w:ascii="Times New Roman" w:hAnsi="Times New Roman" w:cs="Times New Roman"/>
          <w:lang w:val="en-US" w:eastAsia="zh-CN"/>
        </w:rPr>
        <w:t>。</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三、强化“智治”支撑</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提升智能化治理能力</w:t>
      </w:r>
      <w:r>
        <w:rPr>
          <w:rFonts w:hint="eastAsia" w:cs="Times New Roman"/>
          <w:lang w:val="en-US" w:eastAsia="zh-CN"/>
        </w:rPr>
        <w:t>，</w:t>
      </w:r>
      <w:r>
        <w:rPr>
          <w:rFonts w:hint="default" w:ascii="Times New Roman" w:hAnsi="Times New Roman" w:cs="Times New Roman"/>
          <w:lang w:val="en-US" w:eastAsia="zh-CN"/>
        </w:rPr>
        <w:t>推动综治平台与政务服务、城市管理、应急指挥等系统的数据互通、业务协同，构建区级“平安大脑”</w:t>
      </w:r>
      <w:r>
        <w:rPr>
          <w:rFonts w:hint="eastAsia" w:cs="Times New Roman"/>
          <w:lang w:val="en-US" w:eastAsia="zh-CN"/>
        </w:rPr>
        <w:t>。</w:t>
      </w:r>
      <w:r>
        <w:rPr>
          <w:rFonts w:hint="default" w:ascii="Times New Roman" w:hAnsi="Times New Roman" w:cs="Times New Roman"/>
          <w:lang w:val="en-US" w:eastAsia="zh-CN"/>
        </w:rPr>
        <w:t>运用大数据、人工智能技术，对治安警情、矛盾纠纷、风险隐患等进行深度分析挖掘，实现精准化、前置化预警预测</w:t>
      </w:r>
      <w:r>
        <w:rPr>
          <w:rFonts w:hint="eastAsia" w:ascii="Times New Roman" w:hAnsi="Times New Roman" w:cs="Times New Roman"/>
          <w:lang w:val="en-US" w:eastAsia="zh-CN"/>
        </w:rPr>
        <w:t>。</w:t>
      </w:r>
      <w:r>
        <w:rPr>
          <w:rFonts w:hint="eastAsia" w:cs="Times New Roman"/>
        </w:rPr>
        <w:t>持续推动基层装备提档升级，</w:t>
      </w:r>
      <w:r>
        <w:rPr>
          <w:rFonts w:hint="default" w:ascii="Times New Roman" w:hAnsi="Times New Roman" w:cs="Times New Roman"/>
          <w:lang w:val="en-US" w:eastAsia="zh-CN"/>
        </w:rPr>
        <w:t>为一线执法执勤力量（民警、网格员）配备</w:t>
      </w:r>
      <w:r>
        <w:rPr>
          <w:rFonts w:hint="eastAsia" w:ascii="Times New Roman" w:hAnsi="Times New Roman" w:cs="Times New Roman"/>
          <w:lang w:val="en-US" w:eastAsia="zh-CN"/>
        </w:rPr>
        <w:t>各类必需</w:t>
      </w:r>
      <w:r>
        <w:rPr>
          <w:rFonts w:hint="default" w:ascii="Times New Roman" w:hAnsi="Times New Roman" w:cs="Times New Roman"/>
          <w:lang w:val="en-US" w:eastAsia="zh-CN"/>
        </w:rPr>
        <w:t>移动智能终端，提升现场感知、信息采集、快速处置能力。加强信访数据的分析和应用，建立健全与其他部门之间的信息共享机制，打破信息壁垒，实现信访信息与政务数据、社会治理数据等的互联互通。建立健全舆情监测机制，</w:t>
      </w:r>
      <w:r>
        <w:rPr>
          <w:rFonts w:hint="eastAsia" w:cs="Times New Roman"/>
          <w:lang w:val="en-US" w:eastAsia="zh-CN"/>
        </w:rPr>
        <w:t>实现</w:t>
      </w:r>
      <w:r>
        <w:rPr>
          <w:rFonts w:hint="default" w:ascii="Times New Roman" w:hAnsi="Times New Roman" w:cs="Times New Roman"/>
          <w:lang w:val="en-US" w:eastAsia="zh-CN"/>
        </w:rPr>
        <w:t>实时监测、分析和研判。</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45" w:name="_Toc11206"/>
      <w:r>
        <w:rPr>
          <w:rFonts w:hint="default" w:ascii="Times New Roman" w:hAnsi="Times New Roman" w:eastAsia="黑体" w:cs="Times New Roman"/>
          <w:b w:val="0"/>
          <w:bCs/>
          <w:lang w:val="en-US" w:eastAsia="zh-CN"/>
        </w:rPr>
        <w:t>第三节 切实保障社会公共安全</w:t>
      </w:r>
      <w:bookmarkEnd w:id="145"/>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一、强化重点领域安全保障</w:t>
      </w:r>
    </w:p>
    <w:p>
      <w:pPr>
        <w:bidi w:val="0"/>
        <w:rPr>
          <w:rFonts w:hint="default" w:ascii="Times New Roman" w:hAnsi="Times New Roman" w:cs="Times New Roman"/>
          <w:lang w:val="en-US" w:eastAsia="zh-CN"/>
        </w:rPr>
      </w:pPr>
      <w:r>
        <w:rPr>
          <w:rFonts w:hint="eastAsia" w:ascii="Times New Roman" w:hAnsi="Times New Roman" w:cs="Times New Roman"/>
          <w:lang w:val="en-US" w:eastAsia="zh-CN"/>
        </w:rPr>
        <w:t>筑牢安全生产底线</w:t>
      </w:r>
      <w:r>
        <w:rPr>
          <w:rFonts w:hint="eastAsia" w:cs="Times New Roman"/>
          <w:lang w:val="en-US" w:eastAsia="zh-CN"/>
        </w:rPr>
        <w:t>，</w:t>
      </w:r>
      <w:r>
        <w:rPr>
          <w:rFonts w:hint="default" w:ascii="Times New Roman" w:hAnsi="Times New Roman" w:cs="Times New Roman"/>
          <w:lang w:val="en-US" w:eastAsia="zh-CN"/>
        </w:rPr>
        <w:t>深入开展安全生产“铸安”行动，加强安全生产监管，抓好煤电、危化品、燃气、交通等重点领域、重点区域风险整治。</w:t>
      </w:r>
      <w:r>
        <w:rPr>
          <w:rFonts w:hint="eastAsia" w:cs="Times New Roman"/>
          <w:lang w:val="en-US" w:eastAsia="zh-CN"/>
        </w:rPr>
        <w:t>全面加强经济安全，</w:t>
      </w:r>
      <w:r>
        <w:rPr>
          <w:rFonts w:hint="default" w:ascii="Times New Roman" w:hAnsi="Times New Roman" w:cs="Times New Roman"/>
          <w:lang w:val="en-US" w:eastAsia="zh-CN"/>
        </w:rPr>
        <w:t>统筹做好房地产、地方政府债务、中小金融机构等各类风险防范化解工作，进一步加强对融资担保、小额贷款等地方类金融机构监管。深化能源安全保障，加快能源产供储销体系建设，增强能源持续稳定供应</w:t>
      </w:r>
      <w:r>
        <w:rPr>
          <w:rFonts w:hint="eastAsia" w:cs="Times New Roman"/>
          <w:lang w:val="en-US" w:eastAsia="zh-CN"/>
        </w:rPr>
        <w:t>。严守水资源开发利用红线，全面排查饮用水水源保护区及周边各类环境风险源，提高饮用水水源风险防范能力。</w:t>
      </w:r>
      <w:r>
        <w:rPr>
          <w:rFonts w:hint="default" w:ascii="Times New Roman" w:hAnsi="Times New Roman" w:cs="Times New Roman"/>
          <w:lang w:val="en-US" w:eastAsia="zh-CN"/>
        </w:rPr>
        <w:t>全面加强食品、药品、特种设备和重点工业质量安全监管</w:t>
      </w:r>
      <w:r>
        <w:rPr>
          <w:rFonts w:hint="eastAsia" w:cs="Times New Roman"/>
          <w:lang w:val="en-US" w:eastAsia="zh-CN"/>
        </w:rPr>
        <w:t>，严厉打击食品生产经营违法违规行为，深入整顿和规范药品市场秩序</w:t>
      </w:r>
      <w:r>
        <w:rPr>
          <w:rFonts w:hint="default" w:ascii="Times New Roman" w:hAnsi="Times New Roman" w:cs="Times New Roman"/>
          <w:lang w:val="en-US" w:eastAsia="zh-CN"/>
        </w:rPr>
        <w:t>。持续深化综治中心</w:t>
      </w:r>
      <w:r>
        <w:rPr>
          <w:rFonts w:hint="eastAsia" w:cs="Times New Roman"/>
          <w:lang w:val="en-US" w:eastAsia="zh-CN"/>
        </w:rPr>
        <w:t>规范</w:t>
      </w:r>
      <w:r>
        <w:rPr>
          <w:rFonts w:hint="default" w:ascii="Times New Roman" w:hAnsi="Times New Roman" w:cs="Times New Roman"/>
          <w:lang w:val="en-US" w:eastAsia="zh-CN"/>
        </w:rPr>
        <w:t>化建设，对征地拆迁、劳资纠纷、金融借贷、房地产等重点领域和突出群体进行常态化排查梳理</w:t>
      </w:r>
      <w:r>
        <w:rPr>
          <w:rFonts w:hint="eastAsia" w:cs="Times New Roman"/>
          <w:lang w:val="en-US" w:eastAsia="zh-CN"/>
        </w:rPr>
        <w:t>，</w:t>
      </w:r>
      <w:r>
        <w:rPr>
          <w:rFonts w:hint="default" w:ascii="Times New Roman" w:hAnsi="Times New Roman" w:cs="Times New Roman"/>
          <w:lang w:val="en-US" w:eastAsia="zh-CN"/>
        </w:rPr>
        <w:t>完善基层信息报送网络，建立重大风险隐患研判预警机制。</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二、加强社会治安防控</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强化社会治安综合治理力度，</w:t>
      </w:r>
      <w:r>
        <w:rPr>
          <w:rFonts w:hint="eastAsia" w:cs="Times New Roman"/>
          <w:lang w:val="en-US" w:eastAsia="zh-CN"/>
        </w:rPr>
        <w:t>织密</w:t>
      </w:r>
      <w:r>
        <w:rPr>
          <w:rFonts w:hint="default" w:ascii="Times New Roman" w:hAnsi="Times New Roman" w:cs="Times New Roman"/>
          <w:lang w:val="en-US" w:eastAsia="zh-CN"/>
        </w:rPr>
        <w:t>立体化社会治安防控体系</w:t>
      </w:r>
      <w:r>
        <w:rPr>
          <w:rFonts w:hint="eastAsia" w:cs="Times New Roman"/>
          <w:lang w:val="en-US" w:eastAsia="zh-CN"/>
        </w:rPr>
        <w:t>。</w:t>
      </w:r>
      <w:r>
        <w:rPr>
          <w:rFonts w:hint="default" w:ascii="Times New Roman" w:hAnsi="Times New Roman" w:cs="Times New Roman"/>
          <w:lang w:val="en-US" w:eastAsia="zh-CN"/>
        </w:rPr>
        <w:t>深化“雪亮工程”应用向社区（村）、背街小巷延伸覆盖，提高农村地区、铁路沿线、人员密集场所、学校等重点地区和单位的点位覆盖率，推动社会面视频监控资源深度整合与智能解析应用。优化群防群治力结构和管理，加强重点区域、时段动态巡逻防控</w:t>
      </w:r>
      <w:r>
        <w:rPr>
          <w:rFonts w:hint="eastAsia" w:cs="Times New Roman"/>
          <w:lang w:val="en-US" w:eastAsia="zh-CN"/>
        </w:rPr>
        <w:t>。</w:t>
      </w:r>
      <w:r>
        <w:rPr>
          <w:rFonts w:hint="default" w:ascii="Times New Roman" w:hAnsi="Times New Roman" w:cs="Times New Roman"/>
          <w:lang w:val="en-US" w:eastAsia="zh-CN"/>
        </w:rPr>
        <w:t>推广智能门禁、智慧安防小区建设，提升单元最小防控效能。加强与毗邻区县、街道（乡镇）的治安联防联控，建立常态化情报共享、协查协作、应急处置机制。严密防范和惩治涉黑涉恶、电信网络诈骗等各类违法犯罪活动</w:t>
      </w:r>
      <w:r>
        <w:rPr>
          <w:rFonts w:hint="eastAsia" w:cs="Times New Roman"/>
          <w:lang w:val="en-US" w:eastAsia="zh-CN"/>
        </w:rPr>
        <w:t>。</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三、完善应急管理体系</w:t>
      </w:r>
    </w:p>
    <w:p>
      <w:pPr>
        <w:bidi w:val="0"/>
        <w:rPr>
          <w:rFonts w:hint="default" w:ascii="Times New Roman" w:hAnsi="Times New Roman" w:cs="Times New Roman"/>
          <w:lang w:val="en-US" w:eastAsia="zh-CN"/>
        </w:rPr>
      </w:pPr>
      <w:r>
        <w:rPr>
          <w:rFonts w:hint="eastAsia" w:cs="Times New Roman"/>
          <w:lang w:val="en-US" w:eastAsia="zh-CN"/>
        </w:rPr>
        <w:t>优化应急管理部门与相关部门之间的协调联动机制，加快形成应急管理强大合力。建立健全</w:t>
      </w:r>
      <w:r>
        <w:rPr>
          <w:rFonts w:hint="default" w:ascii="Times New Roman" w:hAnsi="Times New Roman" w:cs="Times New Roman"/>
          <w:lang w:val="en-US" w:eastAsia="zh-CN"/>
        </w:rPr>
        <w:t>防灾减灾体制机制，加强与毗邻市、区防灾减灾救灾区域合作，持续开展多灾种综合性应急协作。统筹推进综合应急、专业应急和社会救援队伍建设，强化装备配备和能力建设，优化应急救援体系和技术方案，有力有效处置各类突发灾害事故。推进区网络安全应急指挥中心规范化建设，建立健全网络安全应急响应机制，制定完善网络安全应急预案，定期组织开展应急演练，提高应急处置能力。</w:t>
      </w:r>
    </w:p>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highlight w:val="none"/>
          <w:lang w:val="en-US" w:eastAsia="zh-CN"/>
        </w:rPr>
      </w:pPr>
      <w:bookmarkStart w:id="146" w:name="_Toc12829"/>
      <w:r>
        <w:rPr>
          <w:rFonts w:hint="default" w:ascii="Times New Roman" w:hAnsi="Times New Roman" w:eastAsia="方正小标宋简体" w:cs="Times New Roman"/>
          <w:highlight w:val="none"/>
          <w:lang w:val="en-US" w:eastAsia="zh-CN"/>
        </w:rPr>
        <w:t>第十四章 汇聚强大合力，确保规划目标任务取得</w:t>
      </w:r>
      <w:r>
        <w:rPr>
          <w:rFonts w:hint="default" w:eastAsia="方正小标宋简体" w:cs="Times New Roman"/>
          <w:highlight w:val="none"/>
          <w:lang w:val="en-US" w:eastAsia="zh-CN"/>
        </w:rPr>
        <w:t>新</w:t>
      </w:r>
      <w:r>
        <w:rPr>
          <w:rFonts w:hint="default" w:ascii="Times New Roman" w:hAnsi="Times New Roman" w:eastAsia="方正小标宋简体" w:cs="Times New Roman"/>
          <w:highlight w:val="none"/>
          <w:lang w:val="en-US" w:eastAsia="zh-CN"/>
        </w:rPr>
        <w:t>成效</w:t>
      </w:r>
      <w:bookmarkEnd w:id="146"/>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47" w:name="_Toc26301"/>
      <w:r>
        <w:rPr>
          <w:rFonts w:hint="default" w:ascii="Times New Roman" w:hAnsi="Times New Roman" w:eastAsia="黑体" w:cs="Times New Roman"/>
          <w:b w:val="0"/>
          <w:bCs/>
          <w:lang w:val="en-US" w:eastAsia="zh-CN"/>
        </w:rPr>
        <w:t>第一节 坚持党的全面领导</w:t>
      </w:r>
      <w:bookmarkEnd w:id="147"/>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以党的政治建设为统领，深入学习贯彻习近平新时代中国特色社会主义思想，深刻领会“两个确立”的决定性意义，增强“四个意识”、坚定“四个自信”、做到“两个维护”，完善上下贯通、执行有力的组织体系</w:t>
      </w:r>
      <w:r>
        <w:rPr>
          <w:rFonts w:hint="eastAsia" w:ascii="Times New Roman" w:hAnsi="Times New Roman" w:cs="Times New Roman"/>
          <w:lang w:val="en-US" w:eastAsia="zh-CN"/>
        </w:rPr>
        <w:t>。</w:t>
      </w:r>
      <w:r>
        <w:rPr>
          <w:rFonts w:hint="default" w:ascii="Times New Roman" w:hAnsi="Times New Roman" w:cs="Times New Roman"/>
          <w:lang w:val="en-US" w:eastAsia="zh-CN"/>
        </w:rPr>
        <w:t>坚持并完善领导班子决策前学习习近平总书记重要讲话和有关重要论述制度机制，坚决抓好习近平总书记重要指示批示政治要件的贯彻落实，确保党中央及省委、市委决策部署落地见效。不断提高政治判断力、政治领悟力、政治执行力，充分发挥党总揽全局、协调各方的领导核心作用，把党的领导落实到规划实施的各领域和全过程。</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48" w:name="_Toc25249"/>
      <w:r>
        <w:rPr>
          <w:rFonts w:hint="default" w:ascii="Times New Roman" w:hAnsi="Times New Roman" w:eastAsia="黑体" w:cs="Times New Roman"/>
          <w:b w:val="0"/>
          <w:bCs/>
          <w:lang w:val="en-US" w:eastAsia="zh-CN"/>
        </w:rPr>
        <w:t>第二节 强化重大项目支撑</w:t>
      </w:r>
      <w:bookmarkEnd w:id="148"/>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瞄准国家</w:t>
      </w:r>
      <w:r>
        <w:rPr>
          <w:rFonts w:hint="default" w:cs="Times New Roman"/>
          <w:lang w:val="en-US" w:eastAsia="zh-CN"/>
        </w:rPr>
        <w:t>、省市</w:t>
      </w:r>
      <w:r>
        <w:rPr>
          <w:rFonts w:hint="default" w:ascii="Times New Roman" w:hAnsi="Times New Roman" w:cs="Times New Roman"/>
          <w:lang w:val="en-US" w:eastAsia="zh-CN"/>
        </w:rPr>
        <w:t>最新政策导向和投资方向，大力谋划储备一批战略性新兴产业、</w:t>
      </w:r>
      <w:r>
        <w:rPr>
          <w:rFonts w:hint="default" w:cs="Times New Roman"/>
          <w:lang w:val="en-US" w:eastAsia="zh-CN"/>
        </w:rPr>
        <w:t>未来产业、</w:t>
      </w:r>
      <w:r>
        <w:rPr>
          <w:rFonts w:hint="default" w:ascii="Times New Roman" w:hAnsi="Times New Roman" w:cs="Times New Roman"/>
          <w:lang w:val="en-US" w:eastAsia="zh-CN"/>
        </w:rPr>
        <w:t>现代服务业、基础设施、生态环境、民生保障等重大项目</w:t>
      </w:r>
      <w:r>
        <w:rPr>
          <w:rFonts w:hint="default" w:cs="Times New Roman"/>
          <w:lang w:val="en-US" w:eastAsia="zh-CN"/>
        </w:rPr>
        <w:t>，健全分级分类谋划储备机制，分领域开展项目需求评估论证，强化关联项目前瞻统筹，加强跨行业、跨领域、跨区域项目谋划</w:t>
      </w:r>
      <w:r>
        <w:rPr>
          <w:rFonts w:hint="default" w:ascii="Times New Roman" w:hAnsi="Times New Roman" w:cs="Times New Roman"/>
          <w:lang w:val="en-US" w:eastAsia="zh-CN"/>
        </w:rPr>
        <w:t>。加大项目申报力度，力争更多项目获得中央预算内、省统筹资金、地方政府专项债券等专项资金支持。持续推进长三角一体化发展，进一步加大“双招双引”力度。完善项目会商机制，强化重点项目精细管理、精准调度，持续有序推进重点项目建设。完善重点项目分级分类调度机制，加强部门之间协作配合，做好统计分类和动态管理工作。</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49" w:name="_Toc3998"/>
      <w:r>
        <w:rPr>
          <w:rFonts w:hint="default" w:ascii="Times New Roman" w:hAnsi="Times New Roman" w:eastAsia="黑体" w:cs="Times New Roman"/>
          <w:b w:val="0"/>
          <w:bCs/>
          <w:lang w:val="en-US" w:eastAsia="zh-CN"/>
        </w:rPr>
        <w:t>第三节 健全资源要素保障</w:t>
      </w:r>
      <w:bookmarkEnd w:id="149"/>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一、强化资金要素保障</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优化财政支出结构和政府投资结构，优先安排民生保障、生态建设和城乡一体化等领域的投入，发挥好政府投资的引导作用。积极争取上级支持，进一步加强中央预算内投资项目、地方政府专项债券等项目、资金谋划、争取力度，力争更多项目纳入省市级盘子</w:t>
      </w:r>
      <w:r>
        <w:rPr>
          <w:rFonts w:hint="default" w:cs="Times New Roman"/>
          <w:lang w:val="en-US" w:eastAsia="zh-CN"/>
        </w:rPr>
        <w:t>。</w:t>
      </w:r>
      <w:r>
        <w:rPr>
          <w:rFonts w:hint="default" w:ascii="Times New Roman" w:hAnsi="Times New Roman" w:cs="Times New Roman"/>
          <w:lang w:val="en-US" w:eastAsia="zh-CN"/>
        </w:rPr>
        <w:t>不断完善资金拨付、调度推进、督查通报等工作机制，确保上级资金发挥最大效用。进一步发挥财政资金引导激励和撬动作用，加快建立多元化、多层次、多渠道财政投入体系，不断扩大产业发展、基础设施建设和公共服务完善等财政支出规模。提升产业引导基金效能，完善运营管理、利益让渡等机制，积极撬动各类社会资本、金融资本参与。积极探索推行供应链金融、绿色金融、科技保险、资产证券化等新模式。发挥政策性担保基金作用，帮助实体企业降低融资成本。</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二、强化土地要素支撑</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以土地集约节约为导向，以提升利用效率和效益为目标，持续加大盘活存量建设用地力度，不断优化土地资源配置；强化存量建设用地定分类处置方案，依监测建立批而未供、闲置土地工作台账，“一地一策”依法依规开展清理处置工作。加快“标准地”改革提升、“亩均论英雄”改革突破、闲置低效土地清理攻坚，以亩均增加值、亩均税收、单位能耗、单位排放、劳动生产率、R&amp;D经费支出等指标为重点，合理设置权重，科学开展评价，规范分类分档，精准核实企业、行业、区域等产出效益底数，推动要素资源向高效益、高产出、高技术、高成长性企业集聚。</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三、强化人才要素支撑</w:t>
      </w:r>
    </w:p>
    <w:p>
      <w:pPr>
        <w:bidi w:val="0"/>
        <w:rPr>
          <w:rFonts w:hint="default" w:ascii="Times New Roman" w:hAnsi="Times New Roman" w:cs="Times New Roman"/>
          <w:lang w:val="en-US" w:eastAsia="zh-CN"/>
        </w:rPr>
      </w:pPr>
      <w:r>
        <w:rPr>
          <w:rFonts w:hint="default" w:cs="Times New Roman"/>
          <w:lang w:val="en-US" w:eastAsia="zh-CN"/>
        </w:rPr>
        <w:t>深入推进</w:t>
      </w:r>
      <w:r>
        <w:rPr>
          <w:rFonts w:hint="default" w:ascii="Times New Roman" w:hAnsi="Times New Roman" w:cs="Times New Roman"/>
          <w:lang w:val="en-US" w:eastAsia="zh-CN"/>
        </w:rPr>
        <w:t>人才政策落实，做好高层次人才引进及本土人才培养工作。积极探索“领军人才+创新团队+创业项目”人才引育模式，采用成果转化、项目合作、技术开发、科技咨询、学术交流等方式，引进和培育一批具有产业引领力、影响力的高层次科技人才（团队）。对突出农业技术推广、带头致富、乡村振兴和长期扎根基层并作出突出贡献的乡村专业人才，在职称评定、岗位聘用等方面给予倾斜</w:t>
      </w:r>
      <w:r>
        <w:rPr>
          <w:rFonts w:hint="default" w:cs="Times New Roman"/>
          <w:lang w:val="en-US" w:eastAsia="zh-CN"/>
        </w:rPr>
        <w:t>，</w:t>
      </w:r>
      <w:r>
        <w:rPr>
          <w:rFonts w:hint="default" w:ascii="Times New Roman" w:hAnsi="Times New Roman" w:cs="Times New Roman"/>
          <w:lang w:val="en-US" w:eastAsia="zh-CN"/>
        </w:rPr>
        <w:t>进一步完善岗位管理和聘用制度，创新事业单位聘后管理办法，加强人才动态管理。做优做实人才服务保障，进一步完善优化配偶就业、子女就学、医疗、住房、社会保障等人才保障措施。</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lang w:val="en-US" w:eastAsia="zh-CN"/>
        </w:rPr>
      </w:pPr>
      <w:bookmarkStart w:id="150" w:name="_Toc7391"/>
      <w:r>
        <w:rPr>
          <w:rFonts w:hint="default" w:ascii="Times New Roman" w:hAnsi="Times New Roman" w:eastAsia="黑体" w:cs="Times New Roman"/>
          <w:b w:val="0"/>
          <w:bCs/>
          <w:lang w:val="en-US" w:eastAsia="zh-CN"/>
        </w:rPr>
        <w:t>第四节 加强规划监督考核</w:t>
      </w:r>
      <w:bookmarkEnd w:id="150"/>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建立健全考核评价机制，将本规划内的主要目标任务纳入政府绩效考核体系</w:t>
      </w:r>
      <w:r>
        <w:rPr>
          <w:rFonts w:hint="eastAsia" w:ascii="Times New Roman" w:hAnsi="Times New Roman" w:cs="Times New Roman"/>
          <w:lang w:val="en-US" w:eastAsia="zh-CN"/>
        </w:rPr>
        <w:t>，</w:t>
      </w:r>
      <w:r>
        <w:rPr>
          <w:rFonts w:hint="default" w:ascii="Times New Roman" w:hAnsi="Times New Roman" w:cs="Times New Roman"/>
          <w:lang w:val="en-US" w:eastAsia="zh-CN"/>
        </w:rPr>
        <w:t>加大绩效考核力度，确保规划目标任务顺利完成。运用大数据、人工智能等辅助技术，加强对规划主要目标任务完成情况的数据检测分析。区政府各部门、镇（街道）的各项目标任务完成情况自觉接受区人大及其常委会监督检查。在规划实施中期阶段，由区政府组织开展中期评估，加强第三方独立评估，评估报告提交区人大常委会审议，需要调整规划目标任务的，按程序报批。</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33192C"/>
    <w:rsid w:val="0009075B"/>
    <w:rsid w:val="00172E78"/>
    <w:rsid w:val="0030325B"/>
    <w:rsid w:val="00365069"/>
    <w:rsid w:val="00566002"/>
    <w:rsid w:val="005C088A"/>
    <w:rsid w:val="0069744B"/>
    <w:rsid w:val="00FD131B"/>
    <w:rsid w:val="00FE1942"/>
    <w:rsid w:val="011C44BE"/>
    <w:rsid w:val="01374E54"/>
    <w:rsid w:val="01590941"/>
    <w:rsid w:val="01626374"/>
    <w:rsid w:val="019A1F99"/>
    <w:rsid w:val="019F3337"/>
    <w:rsid w:val="01A4468C"/>
    <w:rsid w:val="01A544B3"/>
    <w:rsid w:val="01AB1FDC"/>
    <w:rsid w:val="01D31020"/>
    <w:rsid w:val="01ED0EB7"/>
    <w:rsid w:val="01F26559"/>
    <w:rsid w:val="01FA47FF"/>
    <w:rsid w:val="020411DA"/>
    <w:rsid w:val="02353A89"/>
    <w:rsid w:val="02572B53"/>
    <w:rsid w:val="025A529E"/>
    <w:rsid w:val="028A2E61"/>
    <w:rsid w:val="029B75CA"/>
    <w:rsid w:val="029C3B08"/>
    <w:rsid w:val="02A24112"/>
    <w:rsid w:val="02AD361F"/>
    <w:rsid w:val="02B24987"/>
    <w:rsid w:val="02B7624C"/>
    <w:rsid w:val="02BE378E"/>
    <w:rsid w:val="02E132C9"/>
    <w:rsid w:val="02EF5CDD"/>
    <w:rsid w:val="02F0042A"/>
    <w:rsid w:val="02FB6208"/>
    <w:rsid w:val="0320258D"/>
    <w:rsid w:val="03575C81"/>
    <w:rsid w:val="03577A2F"/>
    <w:rsid w:val="035A6766"/>
    <w:rsid w:val="036F4D79"/>
    <w:rsid w:val="039F6D34"/>
    <w:rsid w:val="04294F27"/>
    <w:rsid w:val="044B1342"/>
    <w:rsid w:val="04510922"/>
    <w:rsid w:val="046B19E4"/>
    <w:rsid w:val="047B14FB"/>
    <w:rsid w:val="049E63F5"/>
    <w:rsid w:val="04A226AA"/>
    <w:rsid w:val="04BE31D4"/>
    <w:rsid w:val="04DA4474"/>
    <w:rsid w:val="05041AD8"/>
    <w:rsid w:val="050B2FD3"/>
    <w:rsid w:val="05634469"/>
    <w:rsid w:val="05B747B5"/>
    <w:rsid w:val="05E653C4"/>
    <w:rsid w:val="05E8123D"/>
    <w:rsid w:val="05F72E03"/>
    <w:rsid w:val="062A142B"/>
    <w:rsid w:val="0633208D"/>
    <w:rsid w:val="067704D7"/>
    <w:rsid w:val="06826CEB"/>
    <w:rsid w:val="068C5304"/>
    <w:rsid w:val="06A16199"/>
    <w:rsid w:val="06A411DD"/>
    <w:rsid w:val="06BF1482"/>
    <w:rsid w:val="06BF6017"/>
    <w:rsid w:val="06C16E21"/>
    <w:rsid w:val="06D10184"/>
    <w:rsid w:val="06D55DF1"/>
    <w:rsid w:val="06E91411"/>
    <w:rsid w:val="06EB4587"/>
    <w:rsid w:val="07034F63"/>
    <w:rsid w:val="07047ECE"/>
    <w:rsid w:val="07066E6E"/>
    <w:rsid w:val="07322345"/>
    <w:rsid w:val="073A744C"/>
    <w:rsid w:val="075A5E7B"/>
    <w:rsid w:val="07621BE9"/>
    <w:rsid w:val="079E4DFD"/>
    <w:rsid w:val="07E61381"/>
    <w:rsid w:val="07F12200"/>
    <w:rsid w:val="07F41CF0"/>
    <w:rsid w:val="08122176"/>
    <w:rsid w:val="08174908"/>
    <w:rsid w:val="083E2F6B"/>
    <w:rsid w:val="08400A92"/>
    <w:rsid w:val="0842189C"/>
    <w:rsid w:val="084C5688"/>
    <w:rsid w:val="08512C9F"/>
    <w:rsid w:val="085207C5"/>
    <w:rsid w:val="08564759"/>
    <w:rsid w:val="08646E76"/>
    <w:rsid w:val="08D4640A"/>
    <w:rsid w:val="08ED6E6B"/>
    <w:rsid w:val="090969B4"/>
    <w:rsid w:val="093525C0"/>
    <w:rsid w:val="09450846"/>
    <w:rsid w:val="097D58FE"/>
    <w:rsid w:val="097D7E05"/>
    <w:rsid w:val="09811362"/>
    <w:rsid w:val="0983233E"/>
    <w:rsid w:val="0988191D"/>
    <w:rsid w:val="09A3577C"/>
    <w:rsid w:val="09CF528E"/>
    <w:rsid w:val="0A1E4E03"/>
    <w:rsid w:val="0A23066B"/>
    <w:rsid w:val="0A2A7C4B"/>
    <w:rsid w:val="0A382368"/>
    <w:rsid w:val="0A4A78EB"/>
    <w:rsid w:val="0A916D0C"/>
    <w:rsid w:val="0A9357F1"/>
    <w:rsid w:val="0AAE0F7E"/>
    <w:rsid w:val="0ADF0A36"/>
    <w:rsid w:val="0AE20526"/>
    <w:rsid w:val="0AE33966"/>
    <w:rsid w:val="0AEC40B0"/>
    <w:rsid w:val="0B2A42BF"/>
    <w:rsid w:val="0B2F1889"/>
    <w:rsid w:val="0B3362C6"/>
    <w:rsid w:val="0B39070A"/>
    <w:rsid w:val="0B4B60CB"/>
    <w:rsid w:val="0B5F3925"/>
    <w:rsid w:val="0BC65752"/>
    <w:rsid w:val="0C325422"/>
    <w:rsid w:val="0C56207D"/>
    <w:rsid w:val="0C6E2E22"/>
    <w:rsid w:val="0CAC4948"/>
    <w:rsid w:val="0CF46EE0"/>
    <w:rsid w:val="0D786F20"/>
    <w:rsid w:val="0D933D59"/>
    <w:rsid w:val="0DE325EB"/>
    <w:rsid w:val="0DF76A8E"/>
    <w:rsid w:val="0DF77E44"/>
    <w:rsid w:val="0E0B1B42"/>
    <w:rsid w:val="0E48210F"/>
    <w:rsid w:val="0E67321C"/>
    <w:rsid w:val="0E884F40"/>
    <w:rsid w:val="0E9B2EC6"/>
    <w:rsid w:val="0EE45246"/>
    <w:rsid w:val="0EE52393"/>
    <w:rsid w:val="0EFE168B"/>
    <w:rsid w:val="0F186918"/>
    <w:rsid w:val="0F1C4747"/>
    <w:rsid w:val="0F276507"/>
    <w:rsid w:val="0F613607"/>
    <w:rsid w:val="0F693ECA"/>
    <w:rsid w:val="0F73799F"/>
    <w:rsid w:val="0F7A0D2D"/>
    <w:rsid w:val="0F7F6CFB"/>
    <w:rsid w:val="0F807633"/>
    <w:rsid w:val="0F9A6480"/>
    <w:rsid w:val="0FA64A22"/>
    <w:rsid w:val="0FBE5CBB"/>
    <w:rsid w:val="0FBF4992"/>
    <w:rsid w:val="0FD21598"/>
    <w:rsid w:val="0FF30ADF"/>
    <w:rsid w:val="101A2EB0"/>
    <w:rsid w:val="101C0036"/>
    <w:rsid w:val="102D5D9F"/>
    <w:rsid w:val="104A4BA3"/>
    <w:rsid w:val="104F3F68"/>
    <w:rsid w:val="1074577C"/>
    <w:rsid w:val="10901E42"/>
    <w:rsid w:val="10C34956"/>
    <w:rsid w:val="10D97CD5"/>
    <w:rsid w:val="1114375C"/>
    <w:rsid w:val="11194576"/>
    <w:rsid w:val="112371A2"/>
    <w:rsid w:val="1125116C"/>
    <w:rsid w:val="1134453B"/>
    <w:rsid w:val="113D64B6"/>
    <w:rsid w:val="11501174"/>
    <w:rsid w:val="11566383"/>
    <w:rsid w:val="115F642C"/>
    <w:rsid w:val="115F6453"/>
    <w:rsid w:val="11656D59"/>
    <w:rsid w:val="11802A9D"/>
    <w:rsid w:val="11851C0B"/>
    <w:rsid w:val="119D6F55"/>
    <w:rsid w:val="11AC7198"/>
    <w:rsid w:val="11B85B3D"/>
    <w:rsid w:val="11E608FC"/>
    <w:rsid w:val="11EA1503"/>
    <w:rsid w:val="121216F1"/>
    <w:rsid w:val="121C75C3"/>
    <w:rsid w:val="121F3E0E"/>
    <w:rsid w:val="122F5A80"/>
    <w:rsid w:val="12375BEF"/>
    <w:rsid w:val="123A0C48"/>
    <w:rsid w:val="12411254"/>
    <w:rsid w:val="12535865"/>
    <w:rsid w:val="12661A3D"/>
    <w:rsid w:val="12763F41"/>
    <w:rsid w:val="1283614B"/>
    <w:rsid w:val="129C720C"/>
    <w:rsid w:val="12E60311"/>
    <w:rsid w:val="12E629F2"/>
    <w:rsid w:val="12F15485"/>
    <w:rsid w:val="132F62D2"/>
    <w:rsid w:val="133571E8"/>
    <w:rsid w:val="13434468"/>
    <w:rsid w:val="13531FC1"/>
    <w:rsid w:val="13581385"/>
    <w:rsid w:val="13916645"/>
    <w:rsid w:val="13AA5959"/>
    <w:rsid w:val="13F14C07"/>
    <w:rsid w:val="14481D3D"/>
    <w:rsid w:val="146445A4"/>
    <w:rsid w:val="147246C9"/>
    <w:rsid w:val="14794F90"/>
    <w:rsid w:val="149363ED"/>
    <w:rsid w:val="14B24AC5"/>
    <w:rsid w:val="14CB7C52"/>
    <w:rsid w:val="14D93E23"/>
    <w:rsid w:val="14F25809"/>
    <w:rsid w:val="15224038"/>
    <w:rsid w:val="1534372C"/>
    <w:rsid w:val="156009C5"/>
    <w:rsid w:val="15B11EE6"/>
    <w:rsid w:val="15D70664"/>
    <w:rsid w:val="15E769F0"/>
    <w:rsid w:val="15F93977"/>
    <w:rsid w:val="163A2FC4"/>
    <w:rsid w:val="16DC407B"/>
    <w:rsid w:val="16E55626"/>
    <w:rsid w:val="17187D88"/>
    <w:rsid w:val="17233A58"/>
    <w:rsid w:val="173051DB"/>
    <w:rsid w:val="1743129B"/>
    <w:rsid w:val="175E1B82"/>
    <w:rsid w:val="17667961"/>
    <w:rsid w:val="17A821AF"/>
    <w:rsid w:val="17CE7E68"/>
    <w:rsid w:val="17D2722C"/>
    <w:rsid w:val="17DC7277"/>
    <w:rsid w:val="17DE7281"/>
    <w:rsid w:val="17FB49D5"/>
    <w:rsid w:val="17FE6E56"/>
    <w:rsid w:val="18023994"/>
    <w:rsid w:val="180B4D80"/>
    <w:rsid w:val="181141F9"/>
    <w:rsid w:val="18226406"/>
    <w:rsid w:val="183A54FD"/>
    <w:rsid w:val="183E42D5"/>
    <w:rsid w:val="18715799"/>
    <w:rsid w:val="1880313C"/>
    <w:rsid w:val="18AC5CCF"/>
    <w:rsid w:val="18B54B84"/>
    <w:rsid w:val="18D3325C"/>
    <w:rsid w:val="18E02B21"/>
    <w:rsid w:val="18E9167E"/>
    <w:rsid w:val="19185113"/>
    <w:rsid w:val="191C2E55"/>
    <w:rsid w:val="191E071B"/>
    <w:rsid w:val="193B73BF"/>
    <w:rsid w:val="193E1D78"/>
    <w:rsid w:val="195C5A1A"/>
    <w:rsid w:val="1970274F"/>
    <w:rsid w:val="199E0845"/>
    <w:rsid w:val="19D63004"/>
    <w:rsid w:val="19D96F98"/>
    <w:rsid w:val="1A051B3B"/>
    <w:rsid w:val="1A0F674F"/>
    <w:rsid w:val="1A1B310D"/>
    <w:rsid w:val="1A275CDC"/>
    <w:rsid w:val="1A3B730B"/>
    <w:rsid w:val="1A424778"/>
    <w:rsid w:val="1A5B79AD"/>
    <w:rsid w:val="1A646862"/>
    <w:rsid w:val="1A685858"/>
    <w:rsid w:val="1A911621"/>
    <w:rsid w:val="1A9923CA"/>
    <w:rsid w:val="1AAB4C41"/>
    <w:rsid w:val="1AB175CD"/>
    <w:rsid w:val="1AEE36B9"/>
    <w:rsid w:val="1AF57E02"/>
    <w:rsid w:val="1B251F98"/>
    <w:rsid w:val="1B3950CA"/>
    <w:rsid w:val="1B3C50FA"/>
    <w:rsid w:val="1B3E70B3"/>
    <w:rsid w:val="1B4346C9"/>
    <w:rsid w:val="1B436BA3"/>
    <w:rsid w:val="1B440441"/>
    <w:rsid w:val="1B574618"/>
    <w:rsid w:val="1B7A20B5"/>
    <w:rsid w:val="1B9D6E53"/>
    <w:rsid w:val="1BAA523E"/>
    <w:rsid w:val="1BC34E9C"/>
    <w:rsid w:val="1BCA6B98"/>
    <w:rsid w:val="1BCE26FC"/>
    <w:rsid w:val="1C297D63"/>
    <w:rsid w:val="1C2C57C5"/>
    <w:rsid w:val="1C56667E"/>
    <w:rsid w:val="1C821E9E"/>
    <w:rsid w:val="1CD557F5"/>
    <w:rsid w:val="1CDC2621"/>
    <w:rsid w:val="1CFF2872"/>
    <w:rsid w:val="1D4806BC"/>
    <w:rsid w:val="1D4D1EC3"/>
    <w:rsid w:val="1D644B75"/>
    <w:rsid w:val="1D951428"/>
    <w:rsid w:val="1D9B6A3E"/>
    <w:rsid w:val="1DA345F9"/>
    <w:rsid w:val="1DC37C66"/>
    <w:rsid w:val="1DF364EA"/>
    <w:rsid w:val="1E0F5E35"/>
    <w:rsid w:val="1E1660C5"/>
    <w:rsid w:val="1E21302E"/>
    <w:rsid w:val="1E262080"/>
    <w:rsid w:val="1E4470D6"/>
    <w:rsid w:val="1E4C5F8A"/>
    <w:rsid w:val="1E6037E4"/>
    <w:rsid w:val="1E894AE9"/>
    <w:rsid w:val="1EAE7A62"/>
    <w:rsid w:val="1EB61656"/>
    <w:rsid w:val="1EC41FC5"/>
    <w:rsid w:val="1ECD1647"/>
    <w:rsid w:val="1EE241F9"/>
    <w:rsid w:val="1EE461C3"/>
    <w:rsid w:val="1EEE0DF0"/>
    <w:rsid w:val="1EF50B84"/>
    <w:rsid w:val="1F190A47"/>
    <w:rsid w:val="1F2751BC"/>
    <w:rsid w:val="1F3C1B5B"/>
    <w:rsid w:val="1F686346"/>
    <w:rsid w:val="1FB43DE7"/>
    <w:rsid w:val="1FB94A9C"/>
    <w:rsid w:val="1FC55FF4"/>
    <w:rsid w:val="1FD004F5"/>
    <w:rsid w:val="1FF561AE"/>
    <w:rsid w:val="20216FA3"/>
    <w:rsid w:val="20270EF3"/>
    <w:rsid w:val="202C26C6"/>
    <w:rsid w:val="20364B19"/>
    <w:rsid w:val="204C6209"/>
    <w:rsid w:val="20607ACB"/>
    <w:rsid w:val="209239FD"/>
    <w:rsid w:val="20C52E37"/>
    <w:rsid w:val="20D7596F"/>
    <w:rsid w:val="20E26732"/>
    <w:rsid w:val="20EE50D7"/>
    <w:rsid w:val="210466A8"/>
    <w:rsid w:val="213120F7"/>
    <w:rsid w:val="2136082C"/>
    <w:rsid w:val="215238B8"/>
    <w:rsid w:val="217D645B"/>
    <w:rsid w:val="217F340A"/>
    <w:rsid w:val="2186530F"/>
    <w:rsid w:val="21920158"/>
    <w:rsid w:val="21937A2C"/>
    <w:rsid w:val="219E23A2"/>
    <w:rsid w:val="21C67161"/>
    <w:rsid w:val="21D2742D"/>
    <w:rsid w:val="21FC1A76"/>
    <w:rsid w:val="22001566"/>
    <w:rsid w:val="221072CF"/>
    <w:rsid w:val="22124DF5"/>
    <w:rsid w:val="221D1884"/>
    <w:rsid w:val="22330628"/>
    <w:rsid w:val="224A634C"/>
    <w:rsid w:val="22600256"/>
    <w:rsid w:val="22623FCE"/>
    <w:rsid w:val="22714212"/>
    <w:rsid w:val="227503E2"/>
    <w:rsid w:val="22891FE0"/>
    <w:rsid w:val="228F6446"/>
    <w:rsid w:val="229D4C42"/>
    <w:rsid w:val="22B41E7B"/>
    <w:rsid w:val="23052B5E"/>
    <w:rsid w:val="23052BAC"/>
    <w:rsid w:val="23141E45"/>
    <w:rsid w:val="2322375E"/>
    <w:rsid w:val="232B2612"/>
    <w:rsid w:val="233A2855"/>
    <w:rsid w:val="233B037C"/>
    <w:rsid w:val="23827D58"/>
    <w:rsid w:val="23B9101B"/>
    <w:rsid w:val="23CC3C72"/>
    <w:rsid w:val="23ED3D6C"/>
    <w:rsid w:val="241207AA"/>
    <w:rsid w:val="24284DA4"/>
    <w:rsid w:val="246062EC"/>
    <w:rsid w:val="2463402E"/>
    <w:rsid w:val="24A51F50"/>
    <w:rsid w:val="24AA7714"/>
    <w:rsid w:val="24CA5515"/>
    <w:rsid w:val="24D26ABE"/>
    <w:rsid w:val="24D42836"/>
    <w:rsid w:val="24D42DE8"/>
    <w:rsid w:val="24D64800"/>
    <w:rsid w:val="24E22A16"/>
    <w:rsid w:val="24F42ED8"/>
    <w:rsid w:val="25070E5D"/>
    <w:rsid w:val="25316E3B"/>
    <w:rsid w:val="253357AE"/>
    <w:rsid w:val="253946AA"/>
    <w:rsid w:val="253D662D"/>
    <w:rsid w:val="253F4153"/>
    <w:rsid w:val="25564252"/>
    <w:rsid w:val="25AE0595"/>
    <w:rsid w:val="25B67154"/>
    <w:rsid w:val="26034825"/>
    <w:rsid w:val="2604482C"/>
    <w:rsid w:val="261358F8"/>
    <w:rsid w:val="26211AAB"/>
    <w:rsid w:val="262A4E03"/>
    <w:rsid w:val="262B0B7B"/>
    <w:rsid w:val="265E2CFF"/>
    <w:rsid w:val="265F25D3"/>
    <w:rsid w:val="2668592C"/>
    <w:rsid w:val="26866DB1"/>
    <w:rsid w:val="26CC5EBA"/>
    <w:rsid w:val="26D703BB"/>
    <w:rsid w:val="26DE5BEE"/>
    <w:rsid w:val="26EE4083"/>
    <w:rsid w:val="26FC7E22"/>
    <w:rsid w:val="27090EBD"/>
    <w:rsid w:val="27133AE9"/>
    <w:rsid w:val="27220C40"/>
    <w:rsid w:val="272D447F"/>
    <w:rsid w:val="27331ADC"/>
    <w:rsid w:val="27341965"/>
    <w:rsid w:val="27532294"/>
    <w:rsid w:val="277327DA"/>
    <w:rsid w:val="277F1584"/>
    <w:rsid w:val="27836337"/>
    <w:rsid w:val="278422F1"/>
    <w:rsid w:val="279B588D"/>
    <w:rsid w:val="27BC2BBD"/>
    <w:rsid w:val="27C22E19"/>
    <w:rsid w:val="27CE3408"/>
    <w:rsid w:val="27CE5C62"/>
    <w:rsid w:val="27F02B4A"/>
    <w:rsid w:val="27F82CDF"/>
    <w:rsid w:val="282619A3"/>
    <w:rsid w:val="2855533A"/>
    <w:rsid w:val="285C0636"/>
    <w:rsid w:val="28924866"/>
    <w:rsid w:val="2899001E"/>
    <w:rsid w:val="28A15125"/>
    <w:rsid w:val="28CF1C92"/>
    <w:rsid w:val="28D61C74"/>
    <w:rsid w:val="290D6316"/>
    <w:rsid w:val="29115E06"/>
    <w:rsid w:val="291B3DFF"/>
    <w:rsid w:val="294C22FF"/>
    <w:rsid w:val="296879F1"/>
    <w:rsid w:val="29703508"/>
    <w:rsid w:val="29742F6B"/>
    <w:rsid w:val="29AE0266"/>
    <w:rsid w:val="29CD7E74"/>
    <w:rsid w:val="29D60DFE"/>
    <w:rsid w:val="29DD3F3B"/>
    <w:rsid w:val="29E654E5"/>
    <w:rsid w:val="2A2102CB"/>
    <w:rsid w:val="2A331DAD"/>
    <w:rsid w:val="2A537FC8"/>
    <w:rsid w:val="2A766447"/>
    <w:rsid w:val="2AC11AAE"/>
    <w:rsid w:val="2AE00186"/>
    <w:rsid w:val="2AF53506"/>
    <w:rsid w:val="2B042984"/>
    <w:rsid w:val="2B125E66"/>
    <w:rsid w:val="2B2E4587"/>
    <w:rsid w:val="2B326508"/>
    <w:rsid w:val="2B396F7F"/>
    <w:rsid w:val="2B406E77"/>
    <w:rsid w:val="2B824D9A"/>
    <w:rsid w:val="2BAA6270"/>
    <w:rsid w:val="2BCE4483"/>
    <w:rsid w:val="2BE64E94"/>
    <w:rsid w:val="2BF13CCD"/>
    <w:rsid w:val="2C275941"/>
    <w:rsid w:val="2C2F10D4"/>
    <w:rsid w:val="2C74067E"/>
    <w:rsid w:val="2C7843EE"/>
    <w:rsid w:val="2C813804"/>
    <w:rsid w:val="2C9C1FAD"/>
    <w:rsid w:val="2C9E20A7"/>
    <w:rsid w:val="2CAD5E46"/>
    <w:rsid w:val="2CCC3583"/>
    <w:rsid w:val="2D117054"/>
    <w:rsid w:val="2D1265F1"/>
    <w:rsid w:val="2D8D5C78"/>
    <w:rsid w:val="2D9E64E4"/>
    <w:rsid w:val="2DB041CD"/>
    <w:rsid w:val="2DBC1EC3"/>
    <w:rsid w:val="2DBD50E7"/>
    <w:rsid w:val="2DC35A21"/>
    <w:rsid w:val="2DD37B2E"/>
    <w:rsid w:val="2DE806A9"/>
    <w:rsid w:val="2E1135C3"/>
    <w:rsid w:val="2E3A6B55"/>
    <w:rsid w:val="2E555E60"/>
    <w:rsid w:val="2E7C01C6"/>
    <w:rsid w:val="2EC21951"/>
    <w:rsid w:val="2EC61441"/>
    <w:rsid w:val="2EDA413D"/>
    <w:rsid w:val="2EF10FE5"/>
    <w:rsid w:val="2EF400F1"/>
    <w:rsid w:val="2F0A3A24"/>
    <w:rsid w:val="2F803E4D"/>
    <w:rsid w:val="2FA21EAE"/>
    <w:rsid w:val="2FA53B19"/>
    <w:rsid w:val="2FAD43AF"/>
    <w:rsid w:val="2FCF4325"/>
    <w:rsid w:val="307A0735"/>
    <w:rsid w:val="307A7A7C"/>
    <w:rsid w:val="30C3032E"/>
    <w:rsid w:val="30C74D94"/>
    <w:rsid w:val="30CC69B5"/>
    <w:rsid w:val="30D42A97"/>
    <w:rsid w:val="310E5DFD"/>
    <w:rsid w:val="31152915"/>
    <w:rsid w:val="312E32CE"/>
    <w:rsid w:val="31302CBA"/>
    <w:rsid w:val="31411253"/>
    <w:rsid w:val="315C42DF"/>
    <w:rsid w:val="31717D8A"/>
    <w:rsid w:val="31877756"/>
    <w:rsid w:val="31BE73E8"/>
    <w:rsid w:val="31CD6F8B"/>
    <w:rsid w:val="31F44D20"/>
    <w:rsid w:val="31F84007"/>
    <w:rsid w:val="31FB7654"/>
    <w:rsid w:val="31FD5A69"/>
    <w:rsid w:val="32285F6F"/>
    <w:rsid w:val="323201FC"/>
    <w:rsid w:val="32425283"/>
    <w:rsid w:val="32596C7A"/>
    <w:rsid w:val="3276317E"/>
    <w:rsid w:val="32792E2E"/>
    <w:rsid w:val="32BC5211"/>
    <w:rsid w:val="32C24615"/>
    <w:rsid w:val="32F01183"/>
    <w:rsid w:val="32F522F5"/>
    <w:rsid w:val="32FD73FC"/>
    <w:rsid w:val="33095DA0"/>
    <w:rsid w:val="3313024C"/>
    <w:rsid w:val="33150BE9"/>
    <w:rsid w:val="331A7FAD"/>
    <w:rsid w:val="3333192C"/>
    <w:rsid w:val="334B63B9"/>
    <w:rsid w:val="3369683F"/>
    <w:rsid w:val="336F127E"/>
    <w:rsid w:val="33723946"/>
    <w:rsid w:val="338B0EAB"/>
    <w:rsid w:val="33945FB2"/>
    <w:rsid w:val="33980436"/>
    <w:rsid w:val="33D26ADA"/>
    <w:rsid w:val="34052A0C"/>
    <w:rsid w:val="341305DE"/>
    <w:rsid w:val="34191C89"/>
    <w:rsid w:val="342040FD"/>
    <w:rsid w:val="3424450A"/>
    <w:rsid w:val="34473024"/>
    <w:rsid w:val="3454129D"/>
    <w:rsid w:val="34673F86"/>
    <w:rsid w:val="34C71A6F"/>
    <w:rsid w:val="34D56A03"/>
    <w:rsid w:val="34DC2F20"/>
    <w:rsid w:val="35006703"/>
    <w:rsid w:val="351936C7"/>
    <w:rsid w:val="35571045"/>
    <w:rsid w:val="355D6F6B"/>
    <w:rsid w:val="356279EA"/>
    <w:rsid w:val="3581357E"/>
    <w:rsid w:val="359E6C74"/>
    <w:rsid w:val="35BA15D4"/>
    <w:rsid w:val="35CB3981"/>
    <w:rsid w:val="36004F8E"/>
    <w:rsid w:val="36315D3A"/>
    <w:rsid w:val="365B7EC0"/>
    <w:rsid w:val="3660023F"/>
    <w:rsid w:val="36690254"/>
    <w:rsid w:val="36714388"/>
    <w:rsid w:val="36721EAF"/>
    <w:rsid w:val="36BB493D"/>
    <w:rsid w:val="36C05642"/>
    <w:rsid w:val="36E27034"/>
    <w:rsid w:val="36F14F91"/>
    <w:rsid w:val="374B2E2B"/>
    <w:rsid w:val="374C205E"/>
    <w:rsid w:val="374C272B"/>
    <w:rsid w:val="3762518A"/>
    <w:rsid w:val="378123A9"/>
    <w:rsid w:val="37824373"/>
    <w:rsid w:val="37893954"/>
    <w:rsid w:val="378A4BEE"/>
    <w:rsid w:val="379540A7"/>
    <w:rsid w:val="37A06FD0"/>
    <w:rsid w:val="37B02C8E"/>
    <w:rsid w:val="37B27965"/>
    <w:rsid w:val="37BF40C7"/>
    <w:rsid w:val="37CB7AC8"/>
    <w:rsid w:val="37D921E5"/>
    <w:rsid w:val="37DC0EC1"/>
    <w:rsid w:val="37F330E7"/>
    <w:rsid w:val="37FD0ABC"/>
    <w:rsid w:val="381E5E4A"/>
    <w:rsid w:val="383C09C6"/>
    <w:rsid w:val="38651CCB"/>
    <w:rsid w:val="38787C50"/>
    <w:rsid w:val="387A58E0"/>
    <w:rsid w:val="38C16F3D"/>
    <w:rsid w:val="38DE28CF"/>
    <w:rsid w:val="38ED3A6E"/>
    <w:rsid w:val="38EF5A38"/>
    <w:rsid w:val="390C2146"/>
    <w:rsid w:val="391060DB"/>
    <w:rsid w:val="392731AB"/>
    <w:rsid w:val="39382F3B"/>
    <w:rsid w:val="393E1D1F"/>
    <w:rsid w:val="396A50BF"/>
    <w:rsid w:val="39A22AAB"/>
    <w:rsid w:val="3A083BC2"/>
    <w:rsid w:val="3A2F2590"/>
    <w:rsid w:val="3A30455A"/>
    <w:rsid w:val="3A625AF9"/>
    <w:rsid w:val="3AA80595"/>
    <w:rsid w:val="3ABD5F67"/>
    <w:rsid w:val="3AE817BC"/>
    <w:rsid w:val="3B0767B6"/>
    <w:rsid w:val="3B084B8F"/>
    <w:rsid w:val="3B0A6B5A"/>
    <w:rsid w:val="3B0C643A"/>
    <w:rsid w:val="3B227B92"/>
    <w:rsid w:val="3B4F406A"/>
    <w:rsid w:val="3B8B7C9A"/>
    <w:rsid w:val="3B954675"/>
    <w:rsid w:val="3BAA5C47"/>
    <w:rsid w:val="3BD32381"/>
    <w:rsid w:val="3BE966E9"/>
    <w:rsid w:val="3BEC13F9"/>
    <w:rsid w:val="3C1604A3"/>
    <w:rsid w:val="3C1B2370"/>
    <w:rsid w:val="3C281562"/>
    <w:rsid w:val="3C2A39B5"/>
    <w:rsid w:val="3C5A766D"/>
    <w:rsid w:val="3C81349C"/>
    <w:rsid w:val="3C942B7F"/>
    <w:rsid w:val="3CA73BDB"/>
    <w:rsid w:val="3CE05DC4"/>
    <w:rsid w:val="3CE55188"/>
    <w:rsid w:val="3CF47AC1"/>
    <w:rsid w:val="3CFF4D97"/>
    <w:rsid w:val="3D324146"/>
    <w:rsid w:val="3D46185D"/>
    <w:rsid w:val="3D474095"/>
    <w:rsid w:val="3D491BBB"/>
    <w:rsid w:val="3D595233"/>
    <w:rsid w:val="3D606F05"/>
    <w:rsid w:val="3D785FFC"/>
    <w:rsid w:val="3D7B3D3F"/>
    <w:rsid w:val="3D7D3613"/>
    <w:rsid w:val="3D9D3CB5"/>
    <w:rsid w:val="3DA02290"/>
    <w:rsid w:val="3DBA1B99"/>
    <w:rsid w:val="3DC94AAA"/>
    <w:rsid w:val="3DED4B59"/>
    <w:rsid w:val="3E2B1CC9"/>
    <w:rsid w:val="3E43680F"/>
    <w:rsid w:val="3E4A66E2"/>
    <w:rsid w:val="3F1461F9"/>
    <w:rsid w:val="3F261A88"/>
    <w:rsid w:val="3F275F2C"/>
    <w:rsid w:val="3F2C52F0"/>
    <w:rsid w:val="3F4826BB"/>
    <w:rsid w:val="3F4F5483"/>
    <w:rsid w:val="3F56036D"/>
    <w:rsid w:val="3F767B2C"/>
    <w:rsid w:val="3FB3156E"/>
    <w:rsid w:val="3FB6105E"/>
    <w:rsid w:val="3FB62E0C"/>
    <w:rsid w:val="3FD31C10"/>
    <w:rsid w:val="3FD87226"/>
    <w:rsid w:val="3FE14A3E"/>
    <w:rsid w:val="3FE931E1"/>
    <w:rsid w:val="3FEC4A80"/>
    <w:rsid w:val="40095632"/>
    <w:rsid w:val="40414DCB"/>
    <w:rsid w:val="406665E0"/>
    <w:rsid w:val="406A6750"/>
    <w:rsid w:val="406D73EA"/>
    <w:rsid w:val="408F760C"/>
    <w:rsid w:val="4094633D"/>
    <w:rsid w:val="40A35A86"/>
    <w:rsid w:val="40AF61D9"/>
    <w:rsid w:val="40C33A32"/>
    <w:rsid w:val="40D95004"/>
    <w:rsid w:val="40F621C4"/>
    <w:rsid w:val="41393CF5"/>
    <w:rsid w:val="417F0110"/>
    <w:rsid w:val="418D462A"/>
    <w:rsid w:val="41923405"/>
    <w:rsid w:val="419D0727"/>
    <w:rsid w:val="41E51A4C"/>
    <w:rsid w:val="41F145CF"/>
    <w:rsid w:val="4213148C"/>
    <w:rsid w:val="42176CD4"/>
    <w:rsid w:val="421A1D78"/>
    <w:rsid w:val="421F2EEA"/>
    <w:rsid w:val="42477018"/>
    <w:rsid w:val="424A78A6"/>
    <w:rsid w:val="427F73A3"/>
    <w:rsid w:val="42984A4B"/>
    <w:rsid w:val="42BF46CD"/>
    <w:rsid w:val="42DD045D"/>
    <w:rsid w:val="42E83C24"/>
    <w:rsid w:val="42E934F8"/>
    <w:rsid w:val="42EF4FB3"/>
    <w:rsid w:val="430A3B9B"/>
    <w:rsid w:val="430D71E7"/>
    <w:rsid w:val="43104F29"/>
    <w:rsid w:val="431A7B56"/>
    <w:rsid w:val="431C182F"/>
    <w:rsid w:val="432A7D99"/>
    <w:rsid w:val="43374264"/>
    <w:rsid w:val="43495456"/>
    <w:rsid w:val="436037BB"/>
    <w:rsid w:val="438C45B0"/>
    <w:rsid w:val="43DF4E23"/>
    <w:rsid w:val="43EF1CD5"/>
    <w:rsid w:val="43EF2D90"/>
    <w:rsid w:val="440A7BCA"/>
    <w:rsid w:val="4426307E"/>
    <w:rsid w:val="442F13DF"/>
    <w:rsid w:val="44352C44"/>
    <w:rsid w:val="44352E99"/>
    <w:rsid w:val="4436276D"/>
    <w:rsid w:val="44564BBE"/>
    <w:rsid w:val="445A645C"/>
    <w:rsid w:val="445F7F16"/>
    <w:rsid w:val="4469070A"/>
    <w:rsid w:val="44803507"/>
    <w:rsid w:val="44AB315B"/>
    <w:rsid w:val="44B518E4"/>
    <w:rsid w:val="44EE5A81"/>
    <w:rsid w:val="44F77F05"/>
    <w:rsid w:val="45651270"/>
    <w:rsid w:val="458D514B"/>
    <w:rsid w:val="45A51959"/>
    <w:rsid w:val="45B11EE5"/>
    <w:rsid w:val="45D95961"/>
    <w:rsid w:val="45E00BE3"/>
    <w:rsid w:val="45EF7078"/>
    <w:rsid w:val="460A6E00"/>
    <w:rsid w:val="46181491"/>
    <w:rsid w:val="461A7F93"/>
    <w:rsid w:val="4651096A"/>
    <w:rsid w:val="46673C6F"/>
    <w:rsid w:val="466C691A"/>
    <w:rsid w:val="469D0882"/>
    <w:rsid w:val="46A1659A"/>
    <w:rsid w:val="46A71700"/>
    <w:rsid w:val="46E841F3"/>
    <w:rsid w:val="4732546E"/>
    <w:rsid w:val="473467DE"/>
    <w:rsid w:val="475278BE"/>
    <w:rsid w:val="47675D33"/>
    <w:rsid w:val="477737C9"/>
    <w:rsid w:val="477F61D9"/>
    <w:rsid w:val="4785516C"/>
    <w:rsid w:val="47971775"/>
    <w:rsid w:val="479C4FDD"/>
    <w:rsid w:val="47AB5220"/>
    <w:rsid w:val="47B50031"/>
    <w:rsid w:val="47B60BF2"/>
    <w:rsid w:val="47EF15B1"/>
    <w:rsid w:val="48294C32"/>
    <w:rsid w:val="48360F8E"/>
    <w:rsid w:val="484713ED"/>
    <w:rsid w:val="487565D5"/>
    <w:rsid w:val="487B2E45"/>
    <w:rsid w:val="48812AE8"/>
    <w:rsid w:val="48877A3B"/>
    <w:rsid w:val="4888321D"/>
    <w:rsid w:val="488D56D5"/>
    <w:rsid w:val="48B3197F"/>
    <w:rsid w:val="48C14CB2"/>
    <w:rsid w:val="48C52312"/>
    <w:rsid w:val="48CB3DCC"/>
    <w:rsid w:val="48CF1133"/>
    <w:rsid w:val="49502006"/>
    <w:rsid w:val="4974192B"/>
    <w:rsid w:val="498B5309"/>
    <w:rsid w:val="499A554C"/>
    <w:rsid w:val="499B3A02"/>
    <w:rsid w:val="49B77EA6"/>
    <w:rsid w:val="49C16F7D"/>
    <w:rsid w:val="49EB0E41"/>
    <w:rsid w:val="49F11610"/>
    <w:rsid w:val="49F13600"/>
    <w:rsid w:val="49F25388"/>
    <w:rsid w:val="49F92273"/>
    <w:rsid w:val="4A0465FC"/>
    <w:rsid w:val="4A1F4C27"/>
    <w:rsid w:val="4A413C1A"/>
    <w:rsid w:val="4A4B5F87"/>
    <w:rsid w:val="4A54710F"/>
    <w:rsid w:val="4A6F3D98"/>
    <w:rsid w:val="4A7612DA"/>
    <w:rsid w:val="4AA27F52"/>
    <w:rsid w:val="4AA743C5"/>
    <w:rsid w:val="4AAA5C63"/>
    <w:rsid w:val="4AAF7B9A"/>
    <w:rsid w:val="4AC22FAD"/>
    <w:rsid w:val="4B0B5621"/>
    <w:rsid w:val="4B0E7738"/>
    <w:rsid w:val="4B1F5E4F"/>
    <w:rsid w:val="4B3F45FD"/>
    <w:rsid w:val="4B4734B2"/>
    <w:rsid w:val="4B664544"/>
    <w:rsid w:val="4B6C4CC7"/>
    <w:rsid w:val="4B933509"/>
    <w:rsid w:val="4BA32DDE"/>
    <w:rsid w:val="4BAE52DF"/>
    <w:rsid w:val="4BB418A9"/>
    <w:rsid w:val="4BCA036B"/>
    <w:rsid w:val="4C003D8D"/>
    <w:rsid w:val="4C0849EF"/>
    <w:rsid w:val="4C59524B"/>
    <w:rsid w:val="4CC21042"/>
    <w:rsid w:val="4CC55DC1"/>
    <w:rsid w:val="4D1473C4"/>
    <w:rsid w:val="4D16313C"/>
    <w:rsid w:val="4D2E5033"/>
    <w:rsid w:val="4D2F41FE"/>
    <w:rsid w:val="4D31441A"/>
    <w:rsid w:val="4D384A86"/>
    <w:rsid w:val="4D4275E6"/>
    <w:rsid w:val="4D5634F0"/>
    <w:rsid w:val="4D5D2E7B"/>
    <w:rsid w:val="4D6640C3"/>
    <w:rsid w:val="4D946788"/>
    <w:rsid w:val="4DA25BC4"/>
    <w:rsid w:val="4DE53E50"/>
    <w:rsid w:val="4DEB281B"/>
    <w:rsid w:val="4DF74D1B"/>
    <w:rsid w:val="4E0336C0"/>
    <w:rsid w:val="4E0B6A19"/>
    <w:rsid w:val="4E2157B8"/>
    <w:rsid w:val="4E5263F6"/>
    <w:rsid w:val="4E722B6D"/>
    <w:rsid w:val="4E7D41AC"/>
    <w:rsid w:val="4E83089E"/>
    <w:rsid w:val="4EA34EA3"/>
    <w:rsid w:val="4EA36C51"/>
    <w:rsid w:val="4EA468A2"/>
    <w:rsid w:val="4EAC0F0E"/>
    <w:rsid w:val="4EFD2805"/>
    <w:rsid w:val="4F005E52"/>
    <w:rsid w:val="4F1F7B1E"/>
    <w:rsid w:val="4F204746"/>
    <w:rsid w:val="4F336227"/>
    <w:rsid w:val="4F50502B"/>
    <w:rsid w:val="4F6C1739"/>
    <w:rsid w:val="4F7B2BFE"/>
    <w:rsid w:val="4F9071D6"/>
    <w:rsid w:val="4FBC621D"/>
    <w:rsid w:val="4FE17A31"/>
    <w:rsid w:val="4FFC0517"/>
    <w:rsid w:val="4FFF437E"/>
    <w:rsid w:val="501025C1"/>
    <w:rsid w:val="50120532"/>
    <w:rsid w:val="502A41CA"/>
    <w:rsid w:val="503060F4"/>
    <w:rsid w:val="503E1327"/>
    <w:rsid w:val="503F29AA"/>
    <w:rsid w:val="5043693E"/>
    <w:rsid w:val="50492324"/>
    <w:rsid w:val="5060129E"/>
    <w:rsid w:val="507B7E86"/>
    <w:rsid w:val="5090793C"/>
    <w:rsid w:val="509C604E"/>
    <w:rsid w:val="50AF796F"/>
    <w:rsid w:val="50C35389"/>
    <w:rsid w:val="50C51101"/>
    <w:rsid w:val="50D17AA6"/>
    <w:rsid w:val="50E64B87"/>
    <w:rsid w:val="50E772C9"/>
    <w:rsid w:val="512963B4"/>
    <w:rsid w:val="51385D77"/>
    <w:rsid w:val="5153670D"/>
    <w:rsid w:val="51592EF2"/>
    <w:rsid w:val="5164091A"/>
    <w:rsid w:val="519145AA"/>
    <w:rsid w:val="51C20B31"/>
    <w:rsid w:val="51C448E2"/>
    <w:rsid w:val="52595FA5"/>
    <w:rsid w:val="527C6137"/>
    <w:rsid w:val="527C72B9"/>
    <w:rsid w:val="528943B0"/>
    <w:rsid w:val="528E28F0"/>
    <w:rsid w:val="52977AF4"/>
    <w:rsid w:val="529E36CC"/>
    <w:rsid w:val="52A336C4"/>
    <w:rsid w:val="52A3619C"/>
    <w:rsid w:val="52B96A43"/>
    <w:rsid w:val="52C43BD6"/>
    <w:rsid w:val="52E87329"/>
    <w:rsid w:val="53195DC9"/>
    <w:rsid w:val="53290EEF"/>
    <w:rsid w:val="532F278B"/>
    <w:rsid w:val="53313D67"/>
    <w:rsid w:val="534851C2"/>
    <w:rsid w:val="537F7B8D"/>
    <w:rsid w:val="538E1C7E"/>
    <w:rsid w:val="53BF34E9"/>
    <w:rsid w:val="53C82986"/>
    <w:rsid w:val="53FB308C"/>
    <w:rsid w:val="543F2DAA"/>
    <w:rsid w:val="546D5D40"/>
    <w:rsid w:val="547215A0"/>
    <w:rsid w:val="547D325A"/>
    <w:rsid w:val="54A91FA4"/>
    <w:rsid w:val="54D63DF6"/>
    <w:rsid w:val="54EB3100"/>
    <w:rsid w:val="54F40207"/>
    <w:rsid w:val="55187B9A"/>
    <w:rsid w:val="55256612"/>
    <w:rsid w:val="55377E40"/>
    <w:rsid w:val="55434CEA"/>
    <w:rsid w:val="55524F2D"/>
    <w:rsid w:val="55801A9A"/>
    <w:rsid w:val="55973D40"/>
    <w:rsid w:val="55A03EEB"/>
    <w:rsid w:val="55A20349"/>
    <w:rsid w:val="55D054E4"/>
    <w:rsid w:val="55F54236"/>
    <w:rsid w:val="56001913"/>
    <w:rsid w:val="560A4FFD"/>
    <w:rsid w:val="562C1C22"/>
    <w:rsid w:val="564B0242"/>
    <w:rsid w:val="567875AC"/>
    <w:rsid w:val="567C6706"/>
    <w:rsid w:val="567D422C"/>
    <w:rsid w:val="568B4B9B"/>
    <w:rsid w:val="56AB7E73"/>
    <w:rsid w:val="56EB73E7"/>
    <w:rsid w:val="56FD5545"/>
    <w:rsid w:val="57106E4E"/>
    <w:rsid w:val="572B4669"/>
    <w:rsid w:val="5737262D"/>
    <w:rsid w:val="57437223"/>
    <w:rsid w:val="574439FA"/>
    <w:rsid w:val="575521E2"/>
    <w:rsid w:val="57763155"/>
    <w:rsid w:val="577C44E3"/>
    <w:rsid w:val="57853398"/>
    <w:rsid w:val="578749B4"/>
    <w:rsid w:val="578C0BCA"/>
    <w:rsid w:val="57967CC2"/>
    <w:rsid w:val="57996E43"/>
    <w:rsid w:val="57AD5BD4"/>
    <w:rsid w:val="57B8376D"/>
    <w:rsid w:val="57CC0FC7"/>
    <w:rsid w:val="58563107"/>
    <w:rsid w:val="586631C9"/>
    <w:rsid w:val="58765D26"/>
    <w:rsid w:val="58801DB1"/>
    <w:rsid w:val="58C63C68"/>
    <w:rsid w:val="58CB5722"/>
    <w:rsid w:val="58E467E4"/>
    <w:rsid w:val="590E4F6C"/>
    <w:rsid w:val="594C6863"/>
    <w:rsid w:val="59954CB2"/>
    <w:rsid w:val="599710BA"/>
    <w:rsid w:val="599C2C1B"/>
    <w:rsid w:val="59A10231"/>
    <w:rsid w:val="59BB12F3"/>
    <w:rsid w:val="59D40607"/>
    <w:rsid w:val="59D76802"/>
    <w:rsid w:val="59D800F7"/>
    <w:rsid w:val="59E7658C"/>
    <w:rsid w:val="59F42A57"/>
    <w:rsid w:val="5A483CA8"/>
    <w:rsid w:val="5A5D23AA"/>
    <w:rsid w:val="5AA20705"/>
    <w:rsid w:val="5AC02939"/>
    <w:rsid w:val="5AE44879"/>
    <w:rsid w:val="5B1B0888"/>
    <w:rsid w:val="5B2555BE"/>
    <w:rsid w:val="5B65211B"/>
    <w:rsid w:val="5B8805E3"/>
    <w:rsid w:val="5B8D3163"/>
    <w:rsid w:val="5B9B5880"/>
    <w:rsid w:val="5BDB6A45"/>
    <w:rsid w:val="5C121898"/>
    <w:rsid w:val="5C1774B2"/>
    <w:rsid w:val="5C205D85"/>
    <w:rsid w:val="5C2F7D76"/>
    <w:rsid w:val="5C675762"/>
    <w:rsid w:val="5C86208C"/>
    <w:rsid w:val="5CC44962"/>
    <w:rsid w:val="5CCD7F8C"/>
    <w:rsid w:val="5CD10E2D"/>
    <w:rsid w:val="5CE40B61"/>
    <w:rsid w:val="5D157C04"/>
    <w:rsid w:val="5D1C479E"/>
    <w:rsid w:val="5D3C099D"/>
    <w:rsid w:val="5D79574D"/>
    <w:rsid w:val="5DA70F39"/>
    <w:rsid w:val="5DB24DC1"/>
    <w:rsid w:val="5DCD7847"/>
    <w:rsid w:val="5DD24E5D"/>
    <w:rsid w:val="5DD31328"/>
    <w:rsid w:val="5DDB6408"/>
    <w:rsid w:val="5DF72B16"/>
    <w:rsid w:val="5E1A3862"/>
    <w:rsid w:val="5E2F405E"/>
    <w:rsid w:val="5E4D2B59"/>
    <w:rsid w:val="5E4F64AE"/>
    <w:rsid w:val="5E7B54F5"/>
    <w:rsid w:val="5EA56A7D"/>
    <w:rsid w:val="5EAA7148"/>
    <w:rsid w:val="5EB36A3D"/>
    <w:rsid w:val="5EC80237"/>
    <w:rsid w:val="5ECA5600"/>
    <w:rsid w:val="5ECC7AFE"/>
    <w:rsid w:val="5EED47E9"/>
    <w:rsid w:val="5F0F12C4"/>
    <w:rsid w:val="5F100333"/>
    <w:rsid w:val="5F157078"/>
    <w:rsid w:val="5F2416E8"/>
    <w:rsid w:val="5F2E07B9"/>
    <w:rsid w:val="5F357D99"/>
    <w:rsid w:val="5F362F96"/>
    <w:rsid w:val="5F614678"/>
    <w:rsid w:val="5F6B7317"/>
    <w:rsid w:val="5F7A755A"/>
    <w:rsid w:val="5F9B6EC2"/>
    <w:rsid w:val="5FCF5AF8"/>
    <w:rsid w:val="5FD23D30"/>
    <w:rsid w:val="5FE5356E"/>
    <w:rsid w:val="5FF67448"/>
    <w:rsid w:val="602066AF"/>
    <w:rsid w:val="60275934"/>
    <w:rsid w:val="60277D0A"/>
    <w:rsid w:val="60487659"/>
    <w:rsid w:val="60490653"/>
    <w:rsid w:val="605F6017"/>
    <w:rsid w:val="606A3A73"/>
    <w:rsid w:val="60911000"/>
    <w:rsid w:val="609E371C"/>
    <w:rsid w:val="60A800F7"/>
    <w:rsid w:val="60C2565D"/>
    <w:rsid w:val="60D33FA2"/>
    <w:rsid w:val="613C71BD"/>
    <w:rsid w:val="615640F5"/>
    <w:rsid w:val="61A7184D"/>
    <w:rsid w:val="61BF0E4D"/>
    <w:rsid w:val="61BF7470"/>
    <w:rsid w:val="61ED6709"/>
    <w:rsid w:val="62255B52"/>
    <w:rsid w:val="623D046C"/>
    <w:rsid w:val="625C73EB"/>
    <w:rsid w:val="62624393"/>
    <w:rsid w:val="62966B4B"/>
    <w:rsid w:val="62BD432E"/>
    <w:rsid w:val="62C510CA"/>
    <w:rsid w:val="62D13935"/>
    <w:rsid w:val="62D560D4"/>
    <w:rsid w:val="62E47B0C"/>
    <w:rsid w:val="62E73159"/>
    <w:rsid w:val="631F5DA9"/>
    <w:rsid w:val="633A22AC"/>
    <w:rsid w:val="637F40A3"/>
    <w:rsid w:val="63901A42"/>
    <w:rsid w:val="639A466F"/>
    <w:rsid w:val="63AC6E92"/>
    <w:rsid w:val="63AE011A"/>
    <w:rsid w:val="63EA73A4"/>
    <w:rsid w:val="64243F39"/>
    <w:rsid w:val="642E6B65"/>
    <w:rsid w:val="644A4A48"/>
    <w:rsid w:val="646E48D7"/>
    <w:rsid w:val="64946690"/>
    <w:rsid w:val="649F103C"/>
    <w:rsid w:val="64B259E8"/>
    <w:rsid w:val="64B654D9"/>
    <w:rsid w:val="64BC589C"/>
    <w:rsid w:val="64C37BF6"/>
    <w:rsid w:val="64D771FD"/>
    <w:rsid w:val="65044496"/>
    <w:rsid w:val="650F6997"/>
    <w:rsid w:val="651641C9"/>
    <w:rsid w:val="65192313"/>
    <w:rsid w:val="652266CA"/>
    <w:rsid w:val="652E1513"/>
    <w:rsid w:val="65385EEE"/>
    <w:rsid w:val="653D1756"/>
    <w:rsid w:val="654B050F"/>
    <w:rsid w:val="65534AD5"/>
    <w:rsid w:val="657F3B1C"/>
    <w:rsid w:val="65AF7B55"/>
    <w:rsid w:val="65C23A09"/>
    <w:rsid w:val="65D61F4D"/>
    <w:rsid w:val="660D737A"/>
    <w:rsid w:val="660F30F2"/>
    <w:rsid w:val="661701F9"/>
    <w:rsid w:val="66216982"/>
    <w:rsid w:val="66524DC5"/>
    <w:rsid w:val="66CD08B8"/>
    <w:rsid w:val="66E856F1"/>
    <w:rsid w:val="671E7365"/>
    <w:rsid w:val="674B1DDA"/>
    <w:rsid w:val="674E19F8"/>
    <w:rsid w:val="67753429"/>
    <w:rsid w:val="67971CD2"/>
    <w:rsid w:val="67A61834"/>
    <w:rsid w:val="67B850C4"/>
    <w:rsid w:val="67D064CB"/>
    <w:rsid w:val="67E34A53"/>
    <w:rsid w:val="68052270"/>
    <w:rsid w:val="68282249"/>
    <w:rsid w:val="686F7E78"/>
    <w:rsid w:val="688128E0"/>
    <w:rsid w:val="68A26E4D"/>
    <w:rsid w:val="68AE53AB"/>
    <w:rsid w:val="68D221B5"/>
    <w:rsid w:val="68F76AFA"/>
    <w:rsid w:val="69083E29"/>
    <w:rsid w:val="691E2BE3"/>
    <w:rsid w:val="69362744"/>
    <w:rsid w:val="69392234"/>
    <w:rsid w:val="69407A67"/>
    <w:rsid w:val="694C01BA"/>
    <w:rsid w:val="69644B75"/>
    <w:rsid w:val="69C04704"/>
    <w:rsid w:val="69CF4947"/>
    <w:rsid w:val="69E563C8"/>
    <w:rsid w:val="69F21D41"/>
    <w:rsid w:val="69F83E9D"/>
    <w:rsid w:val="69FF347E"/>
    <w:rsid w:val="6A4D41E9"/>
    <w:rsid w:val="6A6E4160"/>
    <w:rsid w:val="6A7E0B45"/>
    <w:rsid w:val="6A9242F2"/>
    <w:rsid w:val="6A9A31A7"/>
    <w:rsid w:val="6A9C0A8A"/>
    <w:rsid w:val="6A9C6F1F"/>
    <w:rsid w:val="6ABE0726"/>
    <w:rsid w:val="6ACF10A2"/>
    <w:rsid w:val="6AD27A6A"/>
    <w:rsid w:val="6AEA1A38"/>
    <w:rsid w:val="6AF26B3F"/>
    <w:rsid w:val="6B0C2013"/>
    <w:rsid w:val="6B0F149F"/>
    <w:rsid w:val="6B513865"/>
    <w:rsid w:val="6B80746E"/>
    <w:rsid w:val="6B8F69CA"/>
    <w:rsid w:val="6B8F764C"/>
    <w:rsid w:val="6B93461B"/>
    <w:rsid w:val="6BA50055"/>
    <w:rsid w:val="6BC41409"/>
    <w:rsid w:val="6BC54253"/>
    <w:rsid w:val="6BDE3191"/>
    <w:rsid w:val="6BE26BB3"/>
    <w:rsid w:val="6BEC7A32"/>
    <w:rsid w:val="6BFB7C75"/>
    <w:rsid w:val="6C007039"/>
    <w:rsid w:val="6C0134DD"/>
    <w:rsid w:val="6C046B2A"/>
    <w:rsid w:val="6C155E31"/>
    <w:rsid w:val="6C801A18"/>
    <w:rsid w:val="6C8D5E07"/>
    <w:rsid w:val="6C9048E4"/>
    <w:rsid w:val="6C991968"/>
    <w:rsid w:val="6CA5024B"/>
    <w:rsid w:val="6CAB36AD"/>
    <w:rsid w:val="6CB93DB8"/>
    <w:rsid w:val="6CEA0576"/>
    <w:rsid w:val="6CEA583B"/>
    <w:rsid w:val="6D154D66"/>
    <w:rsid w:val="6D271F58"/>
    <w:rsid w:val="6D7E0B5E"/>
    <w:rsid w:val="6D8F1949"/>
    <w:rsid w:val="6DE74955"/>
    <w:rsid w:val="6DEC1F6B"/>
    <w:rsid w:val="6DF42BCE"/>
    <w:rsid w:val="6E245261"/>
    <w:rsid w:val="6E380D0C"/>
    <w:rsid w:val="6E481D26"/>
    <w:rsid w:val="6E892151"/>
    <w:rsid w:val="6EED710A"/>
    <w:rsid w:val="6F0D7E9E"/>
    <w:rsid w:val="6F1C23DC"/>
    <w:rsid w:val="6F383D07"/>
    <w:rsid w:val="6F40256E"/>
    <w:rsid w:val="6F4B2CC1"/>
    <w:rsid w:val="6F60051B"/>
    <w:rsid w:val="6F9B1553"/>
    <w:rsid w:val="6FC82564"/>
    <w:rsid w:val="6FD131C7"/>
    <w:rsid w:val="6FE4739E"/>
    <w:rsid w:val="6FEA46C6"/>
    <w:rsid w:val="6FFF2342"/>
    <w:rsid w:val="701B2694"/>
    <w:rsid w:val="70383246"/>
    <w:rsid w:val="703A6FBE"/>
    <w:rsid w:val="70583A2E"/>
    <w:rsid w:val="705E2D52"/>
    <w:rsid w:val="706165C6"/>
    <w:rsid w:val="7064403B"/>
    <w:rsid w:val="706B3B4B"/>
    <w:rsid w:val="706D6302"/>
    <w:rsid w:val="707204FE"/>
    <w:rsid w:val="707D092E"/>
    <w:rsid w:val="7096368F"/>
    <w:rsid w:val="709D754D"/>
    <w:rsid w:val="70A72179"/>
    <w:rsid w:val="710B2708"/>
    <w:rsid w:val="7122081F"/>
    <w:rsid w:val="713C4FB8"/>
    <w:rsid w:val="7141437C"/>
    <w:rsid w:val="71436346"/>
    <w:rsid w:val="71445C1A"/>
    <w:rsid w:val="7156220C"/>
    <w:rsid w:val="71867FE1"/>
    <w:rsid w:val="71890D1C"/>
    <w:rsid w:val="71A62B11"/>
    <w:rsid w:val="71B7463E"/>
    <w:rsid w:val="71C8684B"/>
    <w:rsid w:val="71CD79BE"/>
    <w:rsid w:val="71EB06FF"/>
    <w:rsid w:val="71F437A4"/>
    <w:rsid w:val="71FB5040"/>
    <w:rsid w:val="7223490E"/>
    <w:rsid w:val="72916C3D"/>
    <w:rsid w:val="72A61BB4"/>
    <w:rsid w:val="72A9667D"/>
    <w:rsid w:val="72C74D55"/>
    <w:rsid w:val="72E17BC5"/>
    <w:rsid w:val="72E90827"/>
    <w:rsid w:val="730B0F8B"/>
    <w:rsid w:val="73414465"/>
    <w:rsid w:val="73634A7D"/>
    <w:rsid w:val="736D76AA"/>
    <w:rsid w:val="7383089D"/>
    <w:rsid w:val="73A05F90"/>
    <w:rsid w:val="73B44F5F"/>
    <w:rsid w:val="73BE7F06"/>
    <w:rsid w:val="73D56FFD"/>
    <w:rsid w:val="740A6CA7"/>
    <w:rsid w:val="74510D7A"/>
    <w:rsid w:val="747D1B6F"/>
    <w:rsid w:val="748C6809"/>
    <w:rsid w:val="749F7D37"/>
    <w:rsid w:val="74B310ED"/>
    <w:rsid w:val="74C12A19"/>
    <w:rsid w:val="74E120FE"/>
    <w:rsid w:val="74E7523A"/>
    <w:rsid w:val="75154854"/>
    <w:rsid w:val="7523723A"/>
    <w:rsid w:val="754B57C9"/>
    <w:rsid w:val="75530B22"/>
    <w:rsid w:val="756B645C"/>
    <w:rsid w:val="758D46EB"/>
    <w:rsid w:val="759F0D1C"/>
    <w:rsid w:val="75A650F5"/>
    <w:rsid w:val="75CB690A"/>
    <w:rsid w:val="75CD61DE"/>
    <w:rsid w:val="762006EC"/>
    <w:rsid w:val="76217734"/>
    <w:rsid w:val="76384568"/>
    <w:rsid w:val="76442B95"/>
    <w:rsid w:val="765608C9"/>
    <w:rsid w:val="765C57B4"/>
    <w:rsid w:val="7662726E"/>
    <w:rsid w:val="766D5846"/>
    <w:rsid w:val="76724FD8"/>
    <w:rsid w:val="76796366"/>
    <w:rsid w:val="76C17757"/>
    <w:rsid w:val="76E452A2"/>
    <w:rsid w:val="76F67269"/>
    <w:rsid w:val="77241AC6"/>
    <w:rsid w:val="772C5186"/>
    <w:rsid w:val="77334767"/>
    <w:rsid w:val="773E7363"/>
    <w:rsid w:val="776C2A10"/>
    <w:rsid w:val="777C4360"/>
    <w:rsid w:val="77994137"/>
    <w:rsid w:val="77CD6969"/>
    <w:rsid w:val="77EA37A4"/>
    <w:rsid w:val="78096FFD"/>
    <w:rsid w:val="782A7918"/>
    <w:rsid w:val="78306EF8"/>
    <w:rsid w:val="783873F6"/>
    <w:rsid w:val="783C5CF3"/>
    <w:rsid w:val="78575376"/>
    <w:rsid w:val="787B4617"/>
    <w:rsid w:val="78B13B95"/>
    <w:rsid w:val="78C95DB6"/>
    <w:rsid w:val="78D70769"/>
    <w:rsid w:val="78DF26B6"/>
    <w:rsid w:val="78F12D84"/>
    <w:rsid w:val="79226841"/>
    <w:rsid w:val="79257FB4"/>
    <w:rsid w:val="792D38DD"/>
    <w:rsid w:val="79344364"/>
    <w:rsid w:val="79464C25"/>
    <w:rsid w:val="794E3ADA"/>
    <w:rsid w:val="79500F4C"/>
    <w:rsid w:val="797F5A41"/>
    <w:rsid w:val="798B0086"/>
    <w:rsid w:val="799314ED"/>
    <w:rsid w:val="79BC4EE7"/>
    <w:rsid w:val="79BD2A0E"/>
    <w:rsid w:val="79CE4C1B"/>
    <w:rsid w:val="79E14685"/>
    <w:rsid w:val="79E32474"/>
    <w:rsid w:val="7A232871"/>
    <w:rsid w:val="7A6A34D1"/>
    <w:rsid w:val="7A777060"/>
    <w:rsid w:val="7A886B78"/>
    <w:rsid w:val="7A923E9A"/>
    <w:rsid w:val="7A925C48"/>
    <w:rsid w:val="7B0A3A31"/>
    <w:rsid w:val="7B4C4EBB"/>
    <w:rsid w:val="7B541A9B"/>
    <w:rsid w:val="7B644801"/>
    <w:rsid w:val="7B735A7A"/>
    <w:rsid w:val="7B7D2454"/>
    <w:rsid w:val="7B917CAE"/>
    <w:rsid w:val="7B974C50"/>
    <w:rsid w:val="7B9B0B2D"/>
    <w:rsid w:val="7BDA1655"/>
    <w:rsid w:val="7BE424D4"/>
    <w:rsid w:val="7BE527D1"/>
    <w:rsid w:val="7BF22E42"/>
    <w:rsid w:val="7C2823C0"/>
    <w:rsid w:val="7C5B2F05"/>
    <w:rsid w:val="7C611D76"/>
    <w:rsid w:val="7C743857"/>
    <w:rsid w:val="7CB41EA6"/>
    <w:rsid w:val="7CCD4D16"/>
    <w:rsid w:val="7CD444E4"/>
    <w:rsid w:val="7CE92F60"/>
    <w:rsid w:val="7D170ECC"/>
    <w:rsid w:val="7D172435"/>
    <w:rsid w:val="7D332178"/>
    <w:rsid w:val="7D335CF6"/>
    <w:rsid w:val="7D3461CD"/>
    <w:rsid w:val="7DB639FC"/>
    <w:rsid w:val="7DBB7264"/>
    <w:rsid w:val="7DD02D0F"/>
    <w:rsid w:val="7DD353FE"/>
    <w:rsid w:val="7E221091"/>
    <w:rsid w:val="7E2412AD"/>
    <w:rsid w:val="7E265025"/>
    <w:rsid w:val="7E3A63DB"/>
    <w:rsid w:val="7E496DF0"/>
    <w:rsid w:val="7E4B05E8"/>
    <w:rsid w:val="7E83691D"/>
    <w:rsid w:val="7E837D82"/>
    <w:rsid w:val="7E924469"/>
    <w:rsid w:val="7E9B156F"/>
    <w:rsid w:val="7EA341C5"/>
    <w:rsid w:val="7EA725EF"/>
    <w:rsid w:val="7EB048EF"/>
    <w:rsid w:val="7EC9775F"/>
    <w:rsid w:val="7EE132AF"/>
    <w:rsid w:val="7EFE1AFE"/>
    <w:rsid w:val="7F0215EE"/>
    <w:rsid w:val="7F0F5AB9"/>
    <w:rsid w:val="7F210243"/>
    <w:rsid w:val="7F373E42"/>
    <w:rsid w:val="7F6C3478"/>
    <w:rsid w:val="7F923FF5"/>
    <w:rsid w:val="7F9D7069"/>
    <w:rsid w:val="7FAC5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420" w:firstLineChars="200"/>
      <w:jc w:val="both"/>
    </w:pPr>
    <w:rPr>
      <w:rFonts w:ascii="Times New Roman" w:hAnsi="Times New Roman" w:eastAsia="仿宋_GB2312" w:cstheme="minorBidi"/>
      <w:kern w:val="2"/>
      <w:sz w:val="32"/>
      <w:szCs w:val="24"/>
      <w:lang w:val="en-US" w:eastAsia="zh-CN" w:bidi="ar-SA"/>
    </w:rPr>
  </w:style>
  <w:style w:type="paragraph" w:styleId="2">
    <w:name w:val="heading 1"/>
    <w:basedOn w:val="1"/>
    <w:next w:val="1"/>
    <w:qFormat/>
    <w:uiPriority w:val="0"/>
    <w:pPr>
      <w:keepNext/>
      <w:keepLines/>
      <w:spacing w:beforeLines="0" w:beforeAutospacing="0" w:afterLines="0" w:afterAutospacing="0" w:line="600" w:lineRule="exact"/>
      <w:outlineLvl w:val="0"/>
    </w:pPr>
    <w:rPr>
      <w:rFonts w:eastAsia="黑体"/>
      <w:kern w:val="44"/>
    </w:rPr>
  </w:style>
  <w:style w:type="paragraph" w:styleId="3">
    <w:name w:val="heading 2"/>
    <w:basedOn w:val="1"/>
    <w:next w:val="1"/>
    <w:unhideWhenUsed/>
    <w:qFormat/>
    <w:uiPriority w:val="0"/>
    <w:pPr>
      <w:keepNext/>
      <w:keepLines/>
      <w:spacing w:beforeLines="0" w:beforeAutospacing="0" w:afterLines="0" w:afterAutospacing="0" w:line="600" w:lineRule="exact"/>
      <w:outlineLvl w:val="1"/>
    </w:pPr>
    <w:rPr>
      <w:rFonts w:eastAsia="楷体_GB2312"/>
      <w:b/>
    </w:rPr>
  </w:style>
  <w:style w:type="paragraph" w:styleId="4">
    <w:name w:val="heading 3"/>
    <w:basedOn w:val="1"/>
    <w:next w:val="1"/>
    <w:link w:val="16"/>
    <w:unhideWhenUsed/>
    <w:qFormat/>
    <w:uiPriority w:val="0"/>
    <w:pPr>
      <w:keepNext/>
      <w:keepLines/>
      <w:spacing w:beforeLines="0" w:beforeAutospacing="0" w:afterLines="0" w:afterAutospacing="0" w:line="600" w:lineRule="exact"/>
      <w:outlineLvl w:val="2"/>
    </w:pPr>
    <w:rPr>
      <w:rFonts w:eastAsia="楷体_GB2312"/>
      <w:b/>
    </w:rPr>
  </w:style>
  <w:style w:type="paragraph" w:styleId="5">
    <w:name w:val="heading 4"/>
    <w:next w:val="1"/>
    <w:unhideWhenUsed/>
    <w:qFormat/>
    <w:uiPriority w:val="0"/>
    <w:pPr>
      <w:widowControl w:val="0"/>
      <w:spacing w:line="600" w:lineRule="exact"/>
      <w:ind w:firstLine="0" w:firstLineChars="0"/>
      <w:jc w:val="center"/>
      <w:outlineLvl w:val="3"/>
    </w:pPr>
    <w:rPr>
      <w:rFonts w:ascii="Times New Roman" w:hAnsi="Times New Roman" w:eastAsia="黑体" w:cs="宋体"/>
      <w:bCs/>
      <w:kern w:val="2"/>
      <w:sz w:val="28"/>
      <w:szCs w:val="28"/>
      <w:lang w:val="en-US" w:eastAsia="zh-CN" w:bidi="ar-SA"/>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4"/>
    <w:basedOn w:val="1"/>
    <w:next w:val="1"/>
    <w:qFormat/>
    <w:uiPriority w:val="0"/>
    <w:pPr>
      <w:ind w:left="1260" w:leftChars="600"/>
    </w:pPr>
  </w:style>
  <w:style w:type="paragraph" w:styleId="11">
    <w:name w:val="toc 2"/>
    <w:basedOn w:val="1"/>
    <w:next w:val="1"/>
    <w:qFormat/>
    <w:uiPriority w:val="0"/>
    <w:pPr>
      <w:ind w:left="420" w:leftChars="200"/>
    </w:pPr>
  </w:style>
  <w:style w:type="paragraph" w:styleId="12">
    <w:name w:val="Normal (Web)"/>
    <w:basedOn w:val="1"/>
    <w:qFormat/>
    <w:uiPriority w:val="0"/>
    <w:rPr>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标题 3 Char"/>
    <w:link w:val="4"/>
    <w:qFormat/>
    <w:uiPriority w:val="0"/>
    <w:rPr>
      <w:rFonts w:ascii="Times New Roman" w:hAnsi="Times New Roman" w:eastAsia="楷体_GB2312"/>
      <w:b/>
    </w:rPr>
  </w:style>
  <w:style w:type="table" w:customStyle="1" w:styleId="1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61243</Words>
  <Characters>62296</Characters>
  <Lines>0</Lines>
  <Paragraphs>0</Paragraphs>
  <TotalTime>4</TotalTime>
  <ScaleCrop>false</ScaleCrop>
  <LinksUpToDate>false</LinksUpToDate>
  <CharactersWithSpaces>62718</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2025-03-31T07:35:00Z</dcterms:created>
  <dc:creator>沉默的向日葵</dc:creator>
  <cp:lastModifiedBy>Administrator</cp:lastModifiedBy>
  <dcterms:modified xsi:type="dcterms:W3CDTF">2025-10-13T00:49:12Z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3987BCE94DBC41F785657579B864DB76_13</vt:lpwstr>
  </property>
  <property fmtid="{D5CDD505-2E9C-101B-9397-08002B2CF9AE}" pid="4" name="KSOTemplateDocerSaveRecord">
    <vt:lpwstr>eyJoZGlkIjoiYjIwN2MyYzQxZjM2ZjM4NGExOGNiMDQ0MWUyMDM2YjEiLCJ1c2VySWQiOiI1Mjg3Mzc4MjQifQ==</vt:lpwstr>
  </property>
</Properties>
</file>