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7C76FC">
      <w:pPr>
        <w:spacing w:line="680" w:lineRule="exact"/>
        <w:ind w:firstLine="643" w:firstLineChars="200"/>
        <w:jc w:val="center"/>
        <w:rPr>
          <w:rFonts w:asciiTheme="majorEastAsia" w:hAnsiTheme="majorEastAsia" w:eastAsiaTheme="majorEastAsia"/>
          <w:b/>
          <w:sz w:val="32"/>
          <w:szCs w:val="32"/>
        </w:rPr>
      </w:pPr>
      <w:r>
        <w:rPr>
          <w:rFonts w:hint="eastAsia" w:asciiTheme="minorEastAsia" w:hAnsiTheme="minorEastAsia" w:eastAsiaTheme="minorEastAsia"/>
          <w:b/>
          <w:sz w:val="32"/>
          <w:szCs w:val="32"/>
        </w:rPr>
        <w:t>20</w:t>
      </w:r>
      <w:r>
        <w:rPr>
          <w:rFonts w:asciiTheme="minorEastAsia" w:hAnsiTheme="minorEastAsia" w:eastAsiaTheme="minorEastAsia"/>
          <w:b/>
          <w:sz w:val="32"/>
          <w:szCs w:val="32"/>
        </w:rPr>
        <w:t>2</w:t>
      </w:r>
      <w:r>
        <w:rPr>
          <w:rFonts w:hint="eastAsia" w:asciiTheme="minorEastAsia" w:hAnsiTheme="minorEastAsia" w:eastAsiaTheme="minorEastAsia"/>
          <w:b/>
          <w:sz w:val="32"/>
          <w:szCs w:val="32"/>
          <w:lang w:val="en-US" w:eastAsia="zh-CN"/>
        </w:rPr>
        <w:t>5</w:t>
      </w:r>
      <w:r>
        <w:rPr>
          <w:rFonts w:hint="eastAsia" w:asciiTheme="minorEastAsia" w:hAnsiTheme="minorEastAsia" w:eastAsiaTheme="minorEastAsia"/>
          <w:b/>
          <w:sz w:val="32"/>
          <w:szCs w:val="32"/>
        </w:rPr>
        <w:t>年度潘集区政府财政决算公开</w:t>
      </w:r>
      <w:r>
        <w:rPr>
          <w:rFonts w:hint="eastAsia" w:asciiTheme="majorEastAsia" w:hAnsiTheme="majorEastAsia" w:eastAsiaTheme="majorEastAsia"/>
          <w:b/>
          <w:sz w:val="32"/>
          <w:szCs w:val="32"/>
        </w:rPr>
        <w:t>目录</w:t>
      </w:r>
    </w:p>
    <w:p w14:paraId="7832770A">
      <w:pPr>
        <w:spacing w:line="680" w:lineRule="exact"/>
        <w:ind w:firstLine="640" w:firstLineChars="200"/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一、一般公共预算财政收支决算情况</w:t>
      </w:r>
    </w:p>
    <w:p w14:paraId="2E588EFC">
      <w:pPr>
        <w:spacing w:line="680" w:lineRule="exact"/>
        <w:ind w:firstLine="640" w:firstLineChars="200"/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二、政府性基金预算收支决算情况</w:t>
      </w:r>
      <w:r>
        <w:rPr>
          <w:rFonts w:hint="eastAsia" w:asciiTheme="majorEastAsia" w:hAnsiTheme="majorEastAsia" w:eastAsiaTheme="majorEastAsia"/>
          <w:sz w:val="32"/>
          <w:szCs w:val="32"/>
        </w:rPr>
        <w:tab/>
      </w:r>
    </w:p>
    <w:p w14:paraId="796BCA4F">
      <w:pPr>
        <w:spacing w:line="680" w:lineRule="exact"/>
        <w:ind w:firstLine="640" w:firstLineChars="200"/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三、社会保险基金收支决算情况</w:t>
      </w:r>
    </w:p>
    <w:p w14:paraId="5FB5BB4D">
      <w:pPr>
        <w:spacing w:line="680" w:lineRule="exact"/>
        <w:ind w:firstLine="640" w:firstLineChars="200"/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四、国有资本经营预算收支决算情况</w:t>
      </w:r>
    </w:p>
    <w:p w14:paraId="6261EA8C">
      <w:pPr>
        <w:spacing w:line="680" w:lineRule="exact"/>
        <w:ind w:firstLine="640" w:firstLineChars="200"/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五、政府转移性支付执行情况</w:t>
      </w:r>
    </w:p>
    <w:p w14:paraId="1B0D6421">
      <w:pPr>
        <w:spacing w:line="680" w:lineRule="exact"/>
        <w:ind w:firstLine="640" w:firstLineChars="200"/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六、</w:t>
      </w: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一般公共预算</w:t>
      </w:r>
      <w:r>
        <w:rPr>
          <w:rFonts w:hint="eastAsia" w:asciiTheme="majorEastAsia" w:hAnsiTheme="majorEastAsia" w:eastAsiaTheme="majorEastAsia"/>
          <w:sz w:val="32"/>
          <w:szCs w:val="32"/>
        </w:rPr>
        <w:t>“三公”经费预算执行情况</w:t>
      </w:r>
    </w:p>
    <w:p w14:paraId="355C1C98">
      <w:pPr>
        <w:spacing w:line="680" w:lineRule="exact"/>
        <w:ind w:firstLine="640" w:firstLineChars="200"/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七、政府性债务管理情况</w:t>
      </w:r>
    </w:p>
    <w:p w14:paraId="182947A3">
      <w:pPr>
        <w:spacing w:line="680" w:lineRule="exact"/>
        <w:ind w:firstLine="640" w:firstLineChars="200"/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八、预算绩效管理情况</w:t>
      </w:r>
    </w:p>
    <w:p w14:paraId="4D8B5D96">
      <w:pPr>
        <w:spacing w:line="680" w:lineRule="exact"/>
        <w:ind w:firstLine="640" w:firstLineChars="200"/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九、政府决算报告批复情况</w:t>
      </w:r>
    </w:p>
    <w:p w14:paraId="66CBD0C1">
      <w:pPr>
        <w:spacing w:line="680" w:lineRule="exact"/>
        <w:ind w:firstLine="640" w:firstLineChars="200"/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十、预算执行</w:t>
      </w: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相关</w:t>
      </w:r>
      <w:r>
        <w:rPr>
          <w:rFonts w:hint="eastAsia" w:asciiTheme="majorEastAsia" w:hAnsiTheme="majorEastAsia" w:eastAsiaTheme="majorEastAsia"/>
          <w:sz w:val="32"/>
          <w:szCs w:val="32"/>
        </w:rPr>
        <w:t>情况说明</w:t>
      </w:r>
    </w:p>
    <w:p w14:paraId="4AC80DB4">
      <w:pPr>
        <w:spacing w:line="680" w:lineRule="exact"/>
        <w:ind w:firstLine="640" w:firstLineChars="200"/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附件1：关于20</w:t>
      </w:r>
      <w:r>
        <w:rPr>
          <w:rFonts w:asciiTheme="majorEastAsia" w:hAnsiTheme="majorEastAsia" w:eastAsiaTheme="majorEastAsia"/>
          <w:sz w:val="32"/>
          <w:szCs w:val="32"/>
        </w:rPr>
        <w:t>2</w:t>
      </w: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5</w:t>
      </w:r>
      <w:r>
        <w:rPr>
          <w:rFonts w:hint="eastAsia" w:asciiTheme="majorEastAsia" w:hAnsiTheme="majorEastAsia" w:eastAsiaTheme="majorEastAsia"/>
          <w:sz w:val="32"/>
          <w:szCs w:val="32"/>
        </w:rPr>
        <w:t>年财政决算（草案）和202</w:t>
      </w: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6</w:t>
      </w:r>
      <w:r>
        <w:rPr>
          <w:rFonts w:hint="eastAsia" w:asciiTheme="majorEastAsia" w:hAnsiTheme="majorEastAsia" w:eastAsiaTheme="majorEastAsia"/>
          <w:sz w:val="32"/>
          <w:szCs w:val="32"/>
        </w:rPr>
        <w:t>年</w:t>
      </w:r>
    </w:p>
    <w:p w14:paraId="5C5B32B2">
      <w:pPr>
        <w:spacing w:line="680" w:lineRule="exact"/>
        <w:ind w:firstLine="1760" w:firstLineChars="550"/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上半年财政预算执行情况的报告</w:t>
      </w:r>
    </w:p>
    <w:p w14:paraId="5113F3BE">
      <w:pPr>
        <w:spacing w:line="680" w:lineRule="exact"/>
        <w:ind w:firstLine="640" w:firstLineChars="200"/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附件2:20</w:t>
      </w:r>
      <w:r>
        <w:rPr>
          <w:rFonts w:asciiTheme="majorEastAsia" w:hAnsiTheme="majorEastAsia" w:eastAsiaTheme="majorEastAsia"/>
          <w:sz w:val="32"/>
          <w:szCs w:val="32"/>
        </w:rPr>
        <w:t>2</w:t>
      </w: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5</w:t>
      </w:r>
      <w:r>
        <w:rPr>
          <w:rFonts w:hint="eastAsia" w:asciiTheme="majorEastAsia" w:hAnsiTheme="majorEastAsia" w:eastAsiaTheme="majorEastAsia"/>
          <w:sz w:val="32"/>
          <w:szCs w:val="32"/>
        </w:rPr>
        <w:t>年潘集区政府性债务</w:t>
      </w: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决算情况</w:t>
      </w:r>
      <w:r>
        <w:rPr>
          <w:rFonts w:hint="eastAsia" w:asciiTheme="majorEastAsia" w:hAnsiTheme="majorEastAsia" w:eastAsiaTheme="majorEastAsia"/>
          <w:sz w:val="32"/>
          <w:szCs w:val="32"/>
        </w:rPr>
        <w:t>公开</w:t>
      </w:r>
    </w:p>
    <w:p w14:paraId="7542B561">
      <w:pPr>
        <w:spacing w:line="680" w:lineRule="exact"/>
        <w:ind w:firstLine="640" w:firstLineChars="200"/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附件</w:t>
      </w: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3</w:t>
      </w:r>
      <w:r>
        <w:rPr>
          <w:rFonts w:hint="eastAsia" w:asciiTheme="majorEastAsia" w:hAnsiTheme="majorEastAsia" w:eastAsiaTheme="majorEastAsia"/>
          <w:sz w:val="32"/>
          <w:szCs w:val="32"/>
        </w:rPr>
        <w:t>：202</w:t>
      </w: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5</w:t>
      </w:r>
      <w:r>
        <w:rPr>
          <w:rFonts w:hint="eastAsia" w:asciiTheme="majorEastAsia" w:hAnsiTheme="majorEastAsia" w:eastAsiaTheme="majorEastAsia"/>
          <w:sz w:val="32"/>
          <w:szCs w:val="32"/>
        </w:rPr>
        <w:t>年潘集区政府本级</w:t>
      </w:r>
      <w:r>
        <w:rPr>
          <w:rFonts w:hint="eastAsia" w:asciiTheme="majorEastAsia" w:hAnsiTheme="majorEastAsia" w:eastAsiaTheme="majorEastAsia"/>
          <w:b w:val="0"/>
          <w:bCs/>
          <w:sz w:val="32"/>
          <w:szCs w:val="32"/>
        </w:rPr>
        <w:t>“三公”</w:t>
      </w:r>
      <w:r>
        <w:rPr>
          <w:rFonts w:hint="eastAsia" w:asciiTheme="majorEastAsia" w:hAnsiTheme="majorEastAsia" w:eastAsiaTheme="majorEastAsia"/>
          <w:sz w:val="32"/>
          <w:szCs w:val="32"/>
        </w:rPr>
        <w:t>经费公开</w:t>
      </w:r>
    </w:p>
    <w:p w14:paraId="02DE4AA3">
      <w:pPr>
        <w:spacing w:line="680" w:lineRule="exact"/>
        <w:ind w:firstLine="640" w:firstLineChars="200"/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附件</w:t>
      </w: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4</w:t>
      </w:r>
      <w:r>
        <w:rPr>
          <w:rFonts w:hint="eastAsia" w:asciiTheme="majorEastAsia" w:hAnsiTheme="majorEastAsia" w:eastAsiaTheme="majorEastAsia"/>
          <w:sz w:val="32"/>
          <w:szCs w:val="32"/>
        </w:rPr>
        <w:t>：</w:t>
      </w: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2025年</w:t>
      </w:r>
      <w:r>
        <w:rPr>
          <w:rFonts w:hint="eastAsia" w:asciiTheme="majorEastAsia" w:hAnsiTheme="majorEastAsia" w:eastAsiaTheme="majorEastAsia"/>
          <w:sz w:val="32"/>
          <w:szCs w:val="32"/>
        </w:rPr>
        <w:t>财政决算相关名词解释</w:t>
      </w:r>
    </w:p>
    <w:p w14:paraId="08083007">
      <w:pPr>
        <w:spacing w:line="680" w:lineRule="exact"/>
        <w:ind w:firstLine="640" w:firstLineChars="200"/>
        <w:rPr>
          <w:rFonts w:asciiTheme="majorEastAsia" w:hAnsiTheme="majorEastAsia" w:eastAsiaTheme="majorEastAsia"/>
          <w:b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附件</w:t>
      </w: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5</w:t>
      </w:r>
      <w:r>
        <w:rPr>
          <w:rFonts w:hint="eastAsia" w:asciiTheme="majorEastAsia" w:hAnsiTheme="majorEastAsia" w:eastAsiaTheme="majorEastAsia"/>
          <w:sz w:val="32"/>
          <w:szCs w:val="32"/>
        </w:rPr>
        <w:t>：20</w:t>
      </w:r>
      <w:r>
        <w:rPr>
          <w:rFonts w:asciiTheme="majorEastAsia" w:hAnsiTheme="majorEastAsia" w:eastAsiaTheme="majorEastAsia"/>
          <w:sz w:val="32"/>
          <w:szCs w:val="32"/>
        </w:rPr>
        <w:t>2</w:t>
      </w: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5</w:t>
      </w:r>
      <w:r>
        <w:rPr>
          <w:rFonts w:hint="eastAsia" w:asciiTheme="majorEastAsia" w:hAnsiTheme="majorEastAsia" w:eastAsiaTheme="majorEastAsia"/>
          <w:sz w:val="32"/>
          <w:szCs w:val="32"/>
        </w:rPr>
        <w:t>年潘集区政府财政决算</w:t>
      </w: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各项</w:t>
      </w:r>
      <w:r>
        <w:rPr>
          <w:rFonts w:hint="eastAsia" w:asciiTheme="majorEastAsia" w:hAnsiTheme="majorEastAsia" w:eastAsiaTheme="majorEastAsia"/>
          <w:sz w:val="32"/>
          <w:szCs w:val="32"/>
        </w:rPr>
        <w:t>公开</w:t>
      </w: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附</w:t>
      </w:r>
      <w:r>
        <w:rPr>
          <w:rFonts w:hint="eastAsia" w:asciiTheme="majorEastAsia" w:hAnsiTheme="majorEastAsia" w:eastAsiaTheme="majorEastAsia"/>
          <w:sz w:val="32"/>
          <w:szCs w:val="32"/>
        </w:rPr>
        <w:t>表</w:t>
      </w:r>
    </w:p>
    <w:p w14:paraId="19E89A07">
      <w:pPr>
        <w:spacing w:line="680" w:lineRule="exact"/>
        <w:ind w:firstLine="643" w:firstLineChars="200"/>
        <w:rPr>
          <w:rFonts w:hint="eastAsia" w:asciiTheme="majorEastAsia" w:hAnsiTheme="majorEastAsia" w:eastAsiaTheme="majorEastAsia"/>
          <w:b/>
          <w:sz w:val="32"/>
          <w:szCs w:val="32"/>
        </w:rPr>
      </w:pPr>
    </w:p>
    <w:p w14:paraId="737FB7D0">
      <w:pPr>
        <w:spacing w:line="680" w:lineRule="exact"/>
        <w:ind w:firstLine="643" w:firstLineChars="200"/>
        <w:rPr>
          <w:rFonts w:hint="eastAsia" w:asciiTheme="majorEastAsia" w:hAnsiTheme="majorEastAsia" w:eastAsiaTheme="majorEastAsia"/>
          <w:b/>
          <w:sz w:val="32"/>
          <w:szCs w:val="32"/>
        </w:rPr>
      </w:pPr>
    </w:p>
    <w:p w14:paraId="6914F07D">
      <w:pPr>
        <w:spacing w:line="680" w:lineRule="exact"/>
        <w:ind w:firstLine="643" w:firstLineChars="200"/>
        <w:rPr>
          <w:rFonts w:hint="eastAsia" w:asciiTheme="majorEastAsia" w:hAnsiTheme="majorEastAsia" w:eastAsiaTheme="majorEastAsia"/>
          <w:b/>
          <w:sz w:val="32"/>
          <w:szCs w:val="32"/>
        </w:rPr>
      </w:pPr>
    </w:p>
    <w:p w14:paraId="5C87CB72">
      <w:pPr>
        <w:spacing w:line="680" w:lineRule="exact"/>
        <w:ind w:firstLine="643" w:firstLineChars="200"/>
        <w:rPr>
          <w:rFonts w:asciiTheme="majorEastAsia" w:hAnsiTheme="majorEastAsia" w:eastAsiaTheme="majorEastAsia"/>
          <w:b/>
          <w:sz w:val="32"/>
          <w:szCs w:val="32"/>
        </w:rPr>
      </w:pPr>
      <w:r>
        <w:rPr>
          <w:rFonts w:hint="eastAsia" w:asciiTheme="majorEastAsia" w:hAnsiTheme="majorEastAsia" w:eastAsiaTheme="majorEastAsia"/>
          <w:b/>
          <w:sz w:val="32"/>
          <w:szCs w:val="32"/>
        </w:rPr>
        <w:t>一、一般公共预算财政收支决算情况</w:t>
      </w:r>
    </w:p>
    <w:p w14:paraId="0A7E6149">
      <w:pPr>
        <w:spacing w:line="680" w:lineRule="exact"/>
        <w:ind w:firstLine="643" w:firstLineChars="200"/>
        <w:rPr>
          <w:rFonts w:hint="eastAsia" w:cs="仿宋"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b/>
          <w:sz w:val="32"/>
          <w:szCs w:val="32"/>
        </w:rPr>
        <w:t>（一）收入情况：</w:t>
      </w:r>
      <w:r>
        <w:rPr>
          <w:rFonts w:hint="eastAsia" w:cs="仿宋" w:asciiTheme="majorEastAsia" w:hAnsiTheme="majorEastAsia" w:eastAsiaTheme="majorEastAsia"/>
          <w:sz w:val="32"/>
          <w:szCs w:val="32"/>
        </w:rPr>
        <w:t>202</w:t>
      </w:r>
      <w:r>
        <w:rPr>
          <w:rFonts w:hint="eastAsia" w:cs="仿宋" w:asciiTheme="majorEastAsia" w:hAnsiTheme="majorEastAsia" w:eastAsiaTheme="majorEastAsia"/>
          <w:sz w:val="32"/>
          <w:szCs w:val="32"/>
          <w:lang w:val="en-US" w:eastAsia="zh-CN"/>
        </w:rPr>
        <w:t>5</w:t>
      </w:r>
      <w:r>
        <w:rPr>
          <w:rFonts w:hint="eastAsia" w:cs="仿宋" w:asciiTheme="majorEastAsia" w:hAnsiTheme="majorEastAsia" w:eastAsiaTheme="majorEastAsia"/>
          <w:sz w:val="32"/>
          <w:szCs w:val="32"/>
        </w:rPr>
        <w:t>年</w:t>
      </w:r>
      <w:bookmarkStart w:id="0" w:name="_Hlk114040367"/>
      <w:r>
        <w:rPr>
          <w:rFonts w:hint="eastAsia" w:cs="仿宋" w:asciiTheme="majorEastAsia" w:hAnsiTheme="majorEastAsia" w:eastAsiaTheme="majorEastAsia"/>
          <w:sz w:val="32"/>
          <w:szCs w:val="32"/>
        </w:rPr>
        <w:t>全区一般公共预算收入完成77176万元，同比增长6.81%，完成调整预算101.55%。从收入结构看：税收收入完成55209万元；非税收入完成21967万元。</w:t>
      </w:r>
    </w:p>
    <w:p w14:paraId="27BA5866">
      <w:pPr>
        <w:spacing w:line="680" w:lineRule="exact"/>
        <w:ind w:firstLine="643" w:firstLineChars="200"/>
        <w:rPr>
          <w:rFonts w:hint="eastAsia" w:cs="仿宋"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b/>
          <w:bCs w:val="0"/>
          <w:sz w:val="32"/>
          <w:szCs w:val="32"/>
        </w:rPr>
        <w:t>（二）</w:t>
      </w:r>
      <w:r>
        <w:rPr>
          <w:rFonts w:cs="仿宋" w:asciiTheme="majorEastAsia" w:hAnsiTheme="majorEastAsia" w:eastAsiaTheme="majorEastAsia"/>
          <w:b/>
          <w:bCs w:val="0"/>
          <w:sz w:val="32"/>
          <w:szCs w:val="32"/>
        </w:rPr>
        <w:t>财力情况：</w:t>
      </w:r>
      <w:bookmarkEnd w:id="0"/>
      <w:r>
        <w:rPr>
          <w:rFonts w:hint="eastAsia" w:cs="仿宋" w:asciiTheme="majorEastAsia" w:hAnsiTheme="majorEastAsia" w:eastAsiaTheme="majorEastAsia"/>
          <w:sz w:val="32"/>
          <w:szCs w:val="32"/>
        </w:rPr>
        <w:t>202</w:t>
      </w:r>
      <w:r>
        <w:rPr>
          <w:rFonts w:hint="eastAsia" w:cs="仿宋" w:asciiTheme="majorEastAsia" w:hAnsiTheme="majorEastAsia" w:eastAsiaTheme="majorEastAsia"/>
          <w:sz w:val="32"/>
          <w:szCs w:val="32"/>
          <w:lang w:val="en-US" w:eastAsia="zh-CN"/>
        </w:rPr>
        <w:t>5</w:t>
      </w:r>
      <w:r>
        <w:rPr>
          <w:rFonts w:hint="eastAsia" w:cs="仿宋" w:asciiTheme="majorEastAsia" w:hAnsiTheme="majorEastAsia" w:eastAsiaTheme="majorEastAsia"/>
          <w:sz w:val="32"/>
          <w:szCs w:val="32"/>
        </w:rPr>
        <w:t>年全区一般公共预算总收入249081万元，其中：地方一般公共预算收入77176万元；上级转移支付收入107809万元；调入资金49056万元；地方政府</w:t>
      </w:r>
      <w:r>
        <w:rPr>
          <w:rFonts w:hint="eastAsia" w:cs="仿宋" w:asciiTheme="majorEastAsia" w:hAnsiTheme="majorEastAsia" w:eastAsiaTheme="majorEastAsia"/>
          <w:sz w:val="32"/>
          <w:szCs w:val="32"/>
          <w:lang w:eastAsia="zh-CN"/>
        </w:rPr>
        <w:t>一般</w:t>
      </w:r>
      <w:r>
        <w:rPr>
          <w:rFonts w:hint="eastAsia" w:cs="仿宋" w:asciiTheme="majorEastAsia" w:hAnsiTheme="majorEastAsia" w:eastAsiaTheme="majorEastAsia"/>
          <w:sz w:val="32"/>
          <w:szCs w:val="32"/>
        </w:rPr>
        <w:t>债务转贷收入5309万元；上年结转9731万元。</w:t>
      </w:r>
    </w:p>
    <w:p w14:paraId="2B233C9D">
      <w:pPr>
        <w:spacing w:line="680" w:lineRule="exact"/>
        <w:ind w:firstLine="643" w:firstLineChars="200"/>
        <w:rPr>
          <w:rFonts w:cs="仿宋"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b/>
          <w:sz w:val="32"/>
          <w:szCs w:val="32"/>
        </w:rPr>
        <w:t>（</w:t>
      </w:r>
      <w:r>
        <w:rPr>
          <w:rFonts w:hint="eastAsia" w:asciiTheme="majorEastAsia" w:hAnsiTheme="majorEastAsia" w:eastAsiaTheme="majorEastAsia"/>
          <w:b/>
          <w:sz w:val="32"/>
          <w:szCs w:val="32"/>
          <w:lang w:val="en-US" w:eastAsia="zh-CN"/>
        </w:rPr>
        <w:t>三</w:t>
      </w:r>
      <w:r>
        <w:rPr>
          <w:rFonts w:hint="eastAsia" w:asciiTheme="majorEastAsia" w:hAnsiTheme="majorEastAsia" w:eastAsiaTheme="majorEastAsia"/>
          <w:b/>
          <w:sz w:val="32"/>
          <w:szCs w:val="32"/>
        </w:rPr>
        <w:t>）支出情况：</w:t>
      </w:r>
      <w:r>
        <w:rPr>
          <w:rFonts w:cs="仿宋" w:asciiTheme="majorEastAsia" w:hAnsiTheme="majorEastAsia" w:eastAsiaTheme="majorEastAsia"/>
          <w:sz w:val="32"/>
          <w:szCs w:val="32"/>
        </w:rPr>
        <w:t>202</w:t>
      </w:r>
      <w:r>
        <w:rPr>
          <w:rFonts w:hint="eastAsia" w:cs="仿宋" w:asciiTheme="majorEastAsia" w:hAnsiTheme="majorEastAsia" w:eastAsiaTheme="majorEastAsia"/>
          <w:sz w:val="32"/>
          <w:szCs w:val="32"/>
          <w:lang w:val="en-US" w:eastAsia="zh-CN"/>
        </w:rPr>
        <w:t>5</w:t>
      </w:r>
      <w:r>
        <w:rPr>
          <w:rFonts w:hint="eastAsia" w:cs="仿宋" w:asciiTheme="majorEastAsia" w:hAnsiTheme="majorEastAsia" w:eastAsiaTheme="majorEastAsia"/>
          <w:sz w:val="32"/>
          <w:szCs w:val="32"/>
        </w:rPr>
        <w:t>年全区一般公共预算总支出233840万元，其中：一般公共预算支出218931万元；上解支出8409万元；地方政府一般债务还本支出5324万元；安排预算稳定调节基金1176万元。</w:t>
      </w:r>
    </w:p>
    <w:p w14:paraId="463D7078">
      <w:pPr>
        <w:spacing w:line="680" w:lineRule="exact"/>
        <w:ind w:firstLine="640" w:firstLineChars="200"/>
        <w:rPr>
          <w:rFonts w:cs="仿宋" w:asciiTheme="majorEastAsia" w:hAnsiTheme="majorEastAsia" w:eastAsiaTheme="majorEastAsia"/>
          <w:sz w:val="32"/>
          <w:szCs w:val="32"/>
        </w:rPr>
      </w:pPr>
      <w:r>
        <w:rPr>
          <w:rFonts w:hint="eastAsia" w:cs="仿宋" w:asciiTheme="majorEastAsia" w:hAnsiTheme="majorEastAsia" w:eastAsiaTheme="majorEastAsia"/>
          <w:sz w:val="32"/>
          <w:szCs w:val="32"/>
        </w:rPr>
        <w:t>一般公共预算支出218931万元，同比增长2.28%。具体支出项目是：一般公共服务支出19788万元；国防支出296万元；公共安全支出787万元；教育支出37083万元；科学技术支出5242万元；文化旅游体育与传媒支出827万元；社会保障与就业支出49715万元；卫生健康支出20651万元；节能环保支出1732万元；城乡社区事务支出13285万元；农林水支出42338万元；交通运输支出2696万元；资源勘探工业信息等支出6027万元；商业服务业等支出79万元；金融支出130万元；自然资源海洋气象等支出702万元；住房保障支出14253万元；灾害防治及应急管理支出1562万元；债务付息支出1734万元；债务发行费用支出4万元</w:t>
      </w:r>
      <w:r>
        <w:rPr>
          <w:rFonts w:cs="仿宋" w:asciiTheme="majorEastAsia" w:hAnsiTheme="majorEastAsia" w:eastAsiaTheme="majorEastAsia"/>
          <w:sz w:val="32"/>
          <w:szCs w:val="32"/>
        </w:rPr>
        <w:t>。</w:t>
      </w:r>
    </w:p>
    <w:p w14:paraId="06601BDB">
      <w:pPr>
        <w:spacing w:line="680" w:lineRule="exact"/>
        <w:ind w:firstLine="643" w:firstLineChars="200"/>
        <w:rPr>
          <w:rFonts w:hint="eastAsia" w:cs="仿宋" w:asciiTheme="majorEastAsia" w:hAnsiTheme="majorEastAsia" w:eastAsiaTheme="majorEastAsia"/>
          <w:sz w:val="32"/>
          <w:szCs w:val="32"/>
          <w:lang w:val="en-US" w:eastAsia="zh-CN"/>
        </w:rPr>
      </w:pPr>
      <w:r>
        <w:rPr>
          <w:rFonts w:hint="eastAsia" w:cs="仿宋" w:asciiTheme="majorEastAsia" w:hAnsiTheme="majorEastAsia" w:eastAsiaTheme="majorEastAsia"/>
          <w:b/>
          <w:sz w:val="32"/>
          <w:szCs w:val="32"/>
        </w:rPr>
        <w:t>（</w:t>
      </w:r>
      <w:r>
        <w:rPr>
          <w:rFonts w:hint="eastAsia" w:cs="仿宋" w:asciiTheme="majorEastAsia" w:hAnsiTheme="majorEastAsia" w:eastAsiaTheme="majorEastAsia"/>
          <w:b/>
          <w:sz w:val="32"/>
          <w:szCs w:val="32"/>
          <w:lang w:val="en-US" w:eastAsia="zh-CN"/>
        </w:rPr>
        <w:t>四</w:t>
      </w:r>
      <w:r>
        <w:rPr>
          <w:rFonts w:hint="eastAsia" w:cs="仿宋" w:asciiTheme="majorEastAsia" w:hAnsiTheme="majorEastAsia" w:eastAsiaTheme="majorEastAsia"/>
          <w:b/>
          <w:sz w:val="32"/>
          <w:szCs w:val="32"/>
        </w:rPr>
        <w:t>）</w:t>
      </w:r>
      <w:r>
        <w:rPr>
          <w:rFonts w:cs="仿宋" w:asciiTheme="majorEastAsia" w:hAnsiTheme="majorEastAsia" w:eastAsiaTheme="majorEastAsia"/>
          <w:b/>
          <w:sz w:val="32"/>
          <w:szCs w:val="32"/>
        </w:rPr>
        <w:t>平衡情况：</w:t>
      </w:r>
      <w:r>
        <w:rPr>
          <w:rFonts w:cs="仿宋" w:asciiTheme="majorEastAsia" w:hAnsiTheme="majorEastAsia" w:eastAsiaTheme="majorEastAsia"/>
          <w:sz w:val="32"/>
          <w:szCs w:val="32"/>
        </w:rPr>
        <w:t>202</w:t>
      </w:r>
      <w:r>
        <w:rPr>
          <w:rFonts w:hint="eastAsia" w:cs="仿宋" w:asciiTheme="majorEastAsia" w:hAnsiTheme="majorEastAsia" w:eastAsiaTheme="majorEastAsia"/>
          <w:sz w:val="32"/>
          <w:szCs w:val="32"/>
          <w:lang w:val="en-US" w:eastAsia="zh-CN"/>
        </w:rPr>
        <w:t>5年</w:t>
      </w:r>
      <w:r>
        <w:rPr>
          <w:rFonts w:hint="eastAsia" w:cs="仿宋" w:asciiTheme="majorEastAsia" w:hAnsiTheme="majorEastAsia" w:eastAsiaTheme="majorEastAsia"/>
          <w:sz w:val="32"/>
          <w:szCs w:val="32"/>
        </w:rPr>
        <w:t>全区一般公共预算总收入249081万元，全区一般公共预算总支出233840万元，年终结转结余15241万元（见附表）</w:t>
      </w:r>
      <w:r>
        <w:rPr>
          <w:rFonts w:hint="eastAsia" w:cs="仿宋" w:asciiTheme="majorEastAsia" w:hAnsiTheme="majorEastAsia" w:eastAsiaTheme="majorEastAsia"/>
          <w:sz w:val="32"/>
          <w:szCs w:val="32"/>
          <w:lang w:eastAsia="zh-CN"/>
        </w:rPr>
        <w:t>。</w:t>
      </w:r>
    </w:p>
    <w:p w14:paraId="6B31B319">
      <w:pPr>
        <w:spacing w:line="680" w:lineRule="exact"/>
        <w:ind w:firstLine="643" w:firstLineChars="200"/>
        <w:rPr>
          <w:rFonts w:asciiTheme="majorEastAsia" w:hAnsiTheme="majorEastAsia" w:eastAsiaTheme="majorEastAsia"/>
          <w:b/>
          <w:sz w:val="32"/>
          <w:szCs w:val="32"/>
        </w:rPr>
      </w:pPr>
      <w:r>
        <w:rPr>
          <w:rFonts w:hint="eastAsia" w:asciiTheme="majorEastAsia" w:hAnsiTheme="majorEastAsia" w:eastAsiaTheme="majorEastAsia"/>
          <w:b/>
          <w:sz w:val="32"/>
          <w:szCs w:val="32"/>
        </w:rPr>
        <w:t>二、政府性基金预算收支决算情况</w:t>
      </w:r>
      <w:r>
        <w:rPr>
          <w:rFonts w:hint="eastAsia" w:asciiTheme="majorEastAsia" w:hAnsiTheme="majorEastAsia" w:eastAsiaTheme="majorEastAsia"/>
          <w:b/>
          <w:sz w:val="32"/>
          <w:szCs w:val="32"/>
        </w:rPr>
        <w:tab/>
      </w:r>
    </w:p>
    <w:p w14:paraId="31762F8F">
      <w:pPr>
        <w:spacing w:line="620" w:lineRule="exact"/>
        <w:ind w:firstLine="643" w:firstLineChars="200"/>
        <w:rPr>
          <w:rFonts w:hint="eastAsia" w:asciiTheme="majorEastAsia" w:hAnsiTheme="majorEastAsia" w:eastAsiaTheme="majorEastAsia"/>
          <w:bCs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/>
          <w:b/>
          <w:sz w:val="32"/>
          <w:szCs w:val="32"/>
        </w:rPr>
        <w:t>（一）收入情况</w:t>
      </w:r>
      <w:r>
        <w:rPr>
          <w:rFonts w:hint="eastAsia" w:asciiTheme="majorEastAsia" w:hAnsiTheme="majorEastAsia" w:eastAsiaTheme="majorEastAsia"/>
          <w:sz w:val="32"/>
          <w:szCs w:val="32"/>
        </w:rPr>
        <w:t>：</w:t>
      </w:r>
      <w:r>
        <w:rPr>
          <w:rFonts w:asciiTheme="majorEastAsia" w:hAnsiTheme="majorEastAsia" w:eastAsiaTheme="majorEastAsia"/>
          <w:bCs/>
          <w:sz w:val="32"/>
          <w:szCs w:val="32"/>
        </w:rPr>
        <w:t>202</w:t>
      </w:r>
      <w:r>
        <w:rPr>
          <w:rFonts w:hint="eastAsia" w:asciiTheme="majorEastAsia" w:hAnsiTheme="majorEastAsia" w:eastAsiaTheme="majorEastAsia"/>
          <w:bCs/>
          <w:sz w:val="32"/>
          <w:szCs w:val="32"/>
          <w:lang w:val="en-US" w:eastAsia="zh-CN"/>
        </w:rPr>
        <w:t>5</w:t>
      </w:r>
      <w:r>
        <w:rPr>
          <w:rFonts w:hint="eastAsia" w:asciiTheme="majorEastAsia" w:hAnsiTheme="majorEastAsia" w:eastAsiaTheme="majorEastAsia"/>
          <w:bCs/>
          <w:sz w:val="32"/>
          <w:szCs w:val="32"/>
        </w:rPr>
        <w:t>年政府性基金预算收入完成1872万元，同比增长13.80%，完成调整预算120.62%，其中：城市基础设施配套费收入983万元；污水处理费收入577万元；专项债务对应项目专项收入312万元。</w:t>
      </w:r>
    </w:p>
    <w:p w14:paraId="666943BA">
      <w:pPr>
        <w:spacing w:line="520" w:lineRule="exact"/>
        <w:ind w:firstLine="643" w:firstLineChars="200"/>
        <w:rPr>
          <w:rFonts w:hint="eastAsia" w:cs="Times New Roman" w:asciiTheme="majorEastAsia" w:hAnsiTheme="majorEastAsia" w:eastAsiaTheme="majorEastAsia"/>
          <w:b w:val="0"/>
          <w:bCs/>
          <w:sz w:val="32"/>
          <w:szCs w:val="32"/>
        </w:rPr>
      </w:pPr>
      <w:r>
        <w:rPr>
          <w:rFonts w:hint="eastAsia" w:asciiTheme="majorEastAsia" w:hAnsiTheme="majorEastAsia" w:eastAsiaTheme="majorEastAsia"/>
          <w:b/>
          <w:sz w:val="32"/>
          <w:szCs w:val="32"/>
          <w:lang w:eastAsia="zh-CN"/>
        </w:rPr>
        <w:t>（</w:t>
      </w:r>
      <w:r>
        <w:rPr>
          <w:rFonts w:hint="eastAsia" w:asciiTheme="majorEastAsia" w:hAnsiTheme="majorEastAsia" w:eastAsiaTheme="majorEastAsia"/>
          <w:b/>
          <w:sz w:val="32"/>
          <w:szCs w:val="32"/>
          <w:lang w:val="en-US" w:eastAsia="zh-CN"/>
        </w:rPr>
        <w:t>二</w:t>
      </w:r>
      <w:r>
        <w:rPr>
          <w:rFonts w:hint="eastAsia" w:asciiTheme="majorEastAsia" w:hAnsiTheme="majorEastAsia" w:eastAsiaTheme="majorEastAsia"/>
          <w:b/>
          <w:sz w:val="32"/>
          <w:szCs w:val="32"/>
          <w:lang w:eastAsia="zh-CN"/>
        </w:rPr>
        <w:t>）</w:t>
      </w:r>
      <w:r>
        <w:rPr>
          <w:rFonts w:hint="eastAsia" w:asciiTheme="majorEastAsia" w:hAnsiTheme="majorEastAsia" w:eastAsiaTheme="majorEastAsia"/>
          <w:b/>
          <w:sz w:val="32"/>
          <w:szCs w:val="32"/>
        </w:rPr>
        <w:t>财力情况：</w:t>
      </w:r>
      <w:r>
        <w:rPr>
          <w:rFonts w:hint="eastAsia" w:asciiTheme="majorEastAsia" w:hAnsiTheme="majorEastAsia" w:eastAsiaTheme="majorEastAsia"/>
          <w:b w:val="0"/>
          <w:bCs/>
          <w:sz w:val="32"/>
          <w:szCs w:val="32"/>
        </w:rPr>
        <w:t>202</w:t>
      </w:r>
      <w:r>
        <w:rPr>
          <w:rFonts w:hint="eastAsia" w:asciiTheme="majorEastAsia" w:hAnsiTheme="majorEastAsia" w:eastAsiaTheme="majorEastAsia"/>
          <w:b w:val="0"/>
          <w:bCs/>
          <w:sz w:val="32"/>
          <w:szCs w:val="32"/>
          <w:lang w:val="en-US" w:eastAsia="zh-CN"/>
        </w:rPr>
        <w:t>5</w:t>
      </w:r>
      <w:r>
        <w:rPr>
          <w:rFonts w:hint="eastAsia" w:asciiTheme="majorEastAsia" w:hAnsiTheme="majorEastAsia" w:eastAsiaTheme="majorEastAsia"/>
          <w:b w:val="0"/>
          <w:bCs/>
          <w:sz w:val="32"/>
          <w:szCs w:val="32"/>
        </w:rPr>
        <w:t>年全区政府性基金预算总收入119248万元，其中：地方政府性基金预算收入1872万元；转移支付收入15271万元；地方政府专项债务转贷收入90146万元；调入资金9593万元；上年结转2366万元</w:t>
      </w:r>
      <w:r>
        <w:rPr>
          <w:rFonts w:hint="eastAsia" w:cs="Times New Roman" w:asciiTheme="majorEastAsia" w:hAnsiTheme="majorEastAsia" w:eastAsiaTheme="majorEastAsia"/>
          <w:b w:val="0"/>
          <w:bCs/>
          <w:sz w:val="32"/>
          <w:szCs w:val="32"/>
        </w:rPr>
        <w:t>。</w:t>
      </w:r>
    </w:p>
    <w:p w14:paraId="3F5F2345">
      <w:pPr>
        <w:spacing w:line="620" w:lineRule="exact"/>
        <w:ind w:firstLine="643" w:firstLineChars="200"/>
        <w:rPr>
          <w:rFonts w:cs="仿宋"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b/>
          <w:sz w:val="32"/>
          <w:szCs w:val="32"/>
        </w:rPr>
        <w:t>（</w:t>
      </w:r>
      <w:r>
        <w:rPr>
          <w:rFonts w:hint="eastAsia" w:asciiTheme="majorEastAsia" w:hAnsiTheme="majorEastAsia" w:eastAsiaTheme="majorEastAsia"/>
          <w:b/>
          <w:sz w:val="32"/>
          <w:szCs w:val="32"/>
          <w:lang w:val="en-US" w:eastAsia="zh-CN"/>
        </w:rPr>
        <w:t>三</w:t>
      </w:r>
      <w:r>
        <w:rPr>
          <w:rFonts w:hint="eastAsia" w:asciiTheme="majorEastAsia" w:hAnsiTheme="majorEastAsia" w:eastAsiaTheme="majorEastAsia"/>
          <w:b/>
          <w:sz w:val="32"/>
          <w:szCs w:val="32"/>
        </w:rPr>
        <w:t>）支出情况</w:t>
      </w:r>
      <w:r>
        <w:rPr>
          <w:rFonts w:hint="eastAsia" w:asciiTheme="majorEastAsia" w:hAnsiTheme="majorEastAsia" w:eastAsiaTheme="majorEastAsia"/>
          <w:sz w:val="32"/>
          <w:szCs w:val="32"/>
        </w:rPr>
        <w:t>：</w:t>
      </w:r>
      <w:r>
        <w:rPr>
          <w:rFonts w:cs="仿宋" w:asciiTheme="majorEastAsia" w:hAnsiTheme="majorEastAsia" w:eastAsiaTheme="majorEastAsia"/>
          <w:sz w:val="32"/>
          <w:szCs w:val="32"/>
        </w:rPr>
        <w:t>202</w:t>
      </w:r>
      <w:r>
        <w:rPr>
          <w:rFonts w:hint="eastAsia" w:cs="仿宋" w:asciiTheme="majorEastAsia" w:hAnsiTheme="majorEastAsia" w:eastAsiaTheme="majorEastAsia"/>
          <w:sz w:val="32"/>
          <w:szCs w:val="32"/>
          <w:lang w:val="en-US" w:eastAsia="zh-CN"/>
        </w:rPr>
        <w:t>5</w:t>
      </w:r>
      <w:r>
        <w:rPr>
          <w:rFonts w:hint="eastAsia" w:cs="仿宋" w:asciiTheme="majorEastAsia" w:hAnsiTheme="majorEastAsia" w:eastAsiaTheme="majorEastAsia"/>
          <w:sz w:val="32"/>
          <w:szCs w:val="32"/>
        </w:rPr>
        <w:t>年政府性基金预算支出112130万元，具体包括：城乡社区支出7297万元；农林水支出7万元；资源勘探工业信息等支出257万元；其他支出59338万元；债务付息支出6804万元；债务发行费用支出75万元；政府性基金预算调出资金5478万元；债务还本支出32874万元。</w:t>
      </w:r>
    </w:p>
    <w:p w14:paraId="6C56C198">
      <w:pPr>
        <w:spacing w:line="620" w:lineRule="exact"/>
        <w:ind w:firstLine="643" w:firstLineChars="200"/>
        <w:rPr>
          <w:rFonts w:hint="eastAsia" w:cs="仿宋" w:asciiTheme="majorEastAsia" w:hAnsiTheme="majorEastAsia" w:eastAsiaTheme="majorEastAsia"/>
          <w:sz w:val="32"/>
          <w:szCs w:val="32"/>
          <w:lang w:eastAsia="zh-CN"/>
        </w:rPr>
      </w:pPr>
      <w:bookmarkStart w:id="1" w:name="_Hlk114040544"/>
      <w:r>
        <w:rPr>
          <w:rFonts w:hint="eastAsia" w:asciiTheme="majorEastAsia" w:hAnsiTheme="majorEastAsia" w:eastAsiaTheme="majorEastAsia"/>
          <w:b/>
          <w:sz w:val="32"/>
          <w:szCs w:val="32"/>
        </w:rPr>
        <w:t>（</w:t>
      </w:r>
      <w:r>
        <w:rPr>
          <w:rFonts w:hint="eastAsia" w:asciiTheme="majorEastAsia" w:hAnsiTheme="majorEastAsia" w:eastAsiaTheme="majorEastAsia"/>
          <w:b/>
          <w:sz w:val="32"/>
          <w:szCs w:val="32"/>
          <w:lang w:val="en-US" w:eastAsia="zh-CN"/>
        </w:rPr>
        <w:t>四</w:t>
      </w:r>
      <w:r>
        <w:rPr>
          <w:rFonts w:hint="eastAsia" w:asciiTheme="majorEastAsia" w:hAnsiTheme="majorEastAsia" w:eastAsiaTheme="majorEastAsia"/>
          <w:b/>
          <w:sz w:val="32"/>
          <w:szCs w:val="32"/>
        </w:rPr>
        <w:t>）</w:t>
      </w:r>
      <w:bookmarkEnd w:id="1"/>
      <w:r>
        <w:rPr>
          <w:rFonts w:hint="eastAsia" w:asciiTheme="majorEastAsia" w:hAnsiTheme="majorEastAsia" w:eastAsiaTheme="majorEastAsia"/>
          <w:b/>
          <w:sz w:val="32"/>
          <w:szCs w:val="32"/>
        </w:rPr>
        <w:t>平衡情况：</w:t>
      </w:r>
      <w:r>
        <w:rPr>
          <w:rFonts w:hint="eastAsia" w:asciiTheme="majorEastAsia" w:hAnsiTheme="majorEastAsia" w:eastAsiaTheme="majorEastAsia"/>
          <w:b w:val="0"/>
          <w:bCs/>
          <w:sz w:val="32"/>
          <w:szCs w:val="32"/>
        </w:rPr>
        <w:t>政府性基金收入决算</w:t>
      </w:r>
      <w:r>
        <w:rPr>
          <w:rFonts w:hint="eastAsia" w:asciiTheme="majorEastAsia" w:hAnsiTheme="majorEastAsia" w:eastAsiaTheme="majorEastAsia"/>
          <w:b w:val="0"/>
          <w:bCs/>
          <w:sz w:val="32"/>
          <w:szCs w:val="32"/>
          <w:lang w:val="en-US" w:eastAsia="zh-CN"/>
        </w:rPr>
        <w:t>119248万元，政府性基金预算支出112130万元，年终结转结余7118万元（待下年支付）。</w:t>
      </w:r>
    </w:p>
    <w:p w14:paraId="73E10E8B">
      <w:pPr>
        <w:spacing w:line="680" w:lineRule="exact"/>
        <w:ind w:firstLine="643" w:firstLineChars="200"/>
        <w:rPr>
          <w:rFonts w:asciiTheme="majorEastAsia" w:hAnsiTheme="majorEastAsia" w:eastAsiaTheme="majorEastAsia"/>
          <w:b/>
          <w:sz w:val="32"/>
          <w:szCs w:val="32"/>
        </w:rPr>
      </w:pPr>
      <w:r>
        <w:rPr>
          <w:rFonts w:hint="eastAsia" w:asciiTheme="majorEastAsia" w:hAnsiTheme="majorEastAsia" w:eastAsiaTheme="majorEastAsia"/>
          <w:b/>
          <w:sz w:val="32"/>
          <w:szCs w:val="32"/>
        </w:rPr>
        <w:t>三、社会保险基金收支决算情况</w:t>
      </w:r>
    </w:p>
    <w:p w14:paraId="1790D703">
      <w:pPr>
        <w:spacing w:line="620" w:lineRule="exact"/>
        <w:ind w:firstLine="640" w:firstLineChars="200"/>
        <w:rPr>
          <w:rFonts w:hint="eastAsia" w:asciiTheme="majorEastAsia" w:hAnsiTheme="majorEastAsia" w:eastAsiaTheme="majorEastAsia"/>
          <w:color w:val="000000"/>
          <w:sz w:val="32"/>
          <w:szCs w:val="32"/>
          <w:lang w:eastAsia="zh-CN"/>
        </w:rPr>
      </w:pPr>
      <w:r>
        <w:rPr>
          <w:rFonts w:hint="eastAsia" w:asciiTheme="majorEastAsia" w:hAnsiTheme="majorEastAsia" w:eastAsiaTheme="majorEastAsia"/>
          <w:color w:val="000000"/>
          <w:sz w:val="32"/>
          <w:szCs w:val="32"/>
        </w:rPr>
        <w:t>我区社会保险基金由市级统筹，区级决算报表无社会保险基金收支数据</w:t>
      </w:r>
      <w:r>
        <w:rPr>
          <w:rFonts w:hint="eastAsia" w:asciiTheme="majorEastAsia" w:hAnsiTheme="majorEastAsia" w:eastAsiaTheme="majorEastAsia"/>
          <w:sz w:val="32"/>
          <w:szCs w:val="32"/>
        </w:rPr>
        <w:t>（见附表）</w:t>
      </w:r>
      <w:r>
        <w:rPr>
          <w:rFonts w:hint="eastAsia" w:asciiTheme="majorEastAsia" w:hAnsiTheme="majorEastAsia" w:eastAsiaTheme="majorEastAsia"/>
          <w:sz w:val="32"/>
          <w:szCs w:val="32"/>
          <w:lang w:eastAsia="zh-CN"/>
        </w:rPr>
        <w:t>。</w:t>
      </w:r>
    </w:p>
    <w:p w14:paraId="48ECFA3A">
      <w:pPr>
        <w:spacing w:line="680" w:lineRule="exact"/>
        <w:ind w:firstLine="643" w:firstLineChars="200"/>
        <w:rPr>
          <w:rFonts w:asciiTheme="majorEastAsia" w:hAnsiTheme="majorEastAsia" w:eastAsiaTheme="majorEastAsia"/>
          <w:b/>
          <w:sz w:val="32"/>
          <w:szCs w:val="32"/>
        </w:rPr>
      </w:pPr>
      <w:r>
        <w:rPr>
          <w:rFonts w:hint="eastAsia" w:asciiTheme="majorEastAsia" w:hAnsiTheme="majorEastAsia" w:eastAsiaTheme="majorEastAsia"/>
          <w:b/>
          <w:sz w:val="32"/>
          <w:szCs w:val="32"/>
        </w:rPr>
        <w:t>四、国有资本经营预算收支决算情况</w:t>
      </w:r>
    </w:p>
    <w:p w14:paraId="3A1F896F">
      <w:pPr>
        <w:spacing w:line="580" w:lineRule="exact"/>
        <w:ind w:firstLine="640" w:firstLineChars="200"/>
        <w:rPr>
          <w:rFonts w:hint="eastAsia" w:asciiTheme="majorEastAsia" w:hAnsiTheme="majorEastAsia" w:eastAsiaTheme="majorEastAsia"/>
          <w:sz w:val="32"/>
          <w:szCs w:val="32"/>
          <w:lang w:eastAsia="zh-CN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202</w:t>
      </w: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5</w:t>
      </w:r>
      <w:r>
        <w:rPr>
          <w:rFonts w:hint="eastAsia" w:asciiTheme="majorEastAsia" w:hAnsiTheme="majorEastAsia" w:eastAsiaTheme="majorEastAsia"/>
          <w:sz w:val="32"/>
          <w:szCs w:val="32"/>
        </w:rPr>
        <w:t>年国有资本经营预算本级没有收入，上级转移支付收入</w:t>
      </w: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78</w:t>
      </w:r>
      <w:r>
        <w:rPr>
          <w:rFonts w:hint="eastAsia" w:asciiTheme="majorEastAsia" w:hAnsiTheme="majorEastAsia" w:eastAsiaTheme="majorEastAsia"/>
          <w:sz w:val="32"/>
          <w:szCs w:val="32"/>
        </w:rPr>
        <w:t>万元，主要是国有企业退休人员社会化管理补助资金，</w:t>
      </w: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支出18万元，结余60万元，</w:t>
      </w:r>
      <w:r>
        <w:rPr>
          <w:rFonts w:hint="eastAsia" w:asciiTheme="majorEastAsia" w:hAnsiTheme="majorEastAsia" w:eastAsiaTheme="majorEastAsia"/>
          <w:sz w:val="32"/>
          <w:szCs w:val="32"/>
        </w:rPr>
        <w:t>年终决算时转入一般公共预算</w:t>
      </w: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统筹</w:t>
      </w:r>
      <w:r>
        <w:rPr>
          <w:rFonts w:hint="eastAsia" w:asciiTheme="majorEastAsia" w:hAnsiTheme="majorEastAsia" w:eastAsiaTheme="majorEastAsia"/>
          <w:sz w:val="32"/>
          <w:szCs w:val="32"/>
        </w:rPr>
        <w:t>使用（见附表）</w:t>
      </w:r>
      <w:r>
        <w:rPr>
          <w:rFonts w:hint="eastAsia" w:asciiTheme="majorEastAsia" w:hAnsiTheme="majorEastAsia" w:eastAsiaTheme="majorEastAsia"/>
          <w:sz w:val="32"/>
          <w:szCs w:val="32"/>
          <w:lang w:eastAsia="zh-CN"/>
        </w:rPr>
        <w:t>。</w:t>
      </w:r>
    </w:p>
    <w:p w14:paraId="2D1F5FD7">
      <w:pPr>
        <w:numPr>
          <w:ilvl w:val="0"/>
          <w:numId w:val="0"/>
        </w:numPr>
        <w:spacing w:line="620" w:lineRule="exact"/>
        <w:ind w:firstLine="643" w:firstLineChars="200"/>
        <w:rPr>
          <w:rFonts w:hint="eastAsia" w:asciiTheme="majorEastAsia" w:hAnsiTheme="majorEastAsia" w:eastAsiaTheme="majorEastAsia"/>
          <w:color w:val="000000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/>
          <w:b/>
          <w:sz w:val="32"/>
          <w:szCs w:val="32"/>
          <w:lang w:val="en-US" w:eastAsia="zh-CN"/>
        </w:rPr>
        <w:t>五、</w:t>
      </w:r>
      <w:r>
        <w:rPr>
          <w:rFonts w:hint="eastAsia" w:asciiTheme="majorEastAsia" w:hAnsiTheme="majorEastAsia" w:eastAsiaTheme="majorEastAsia"/>
          <w:b/>
          <w:sz w:val="32"/>
          <w:szCs w:val="32"/>
        </w:rPr>
        <w:t>政府转移性支付执行情况。</w:t>
      </w:r>
      <w:r>
        <w:rPr>
          <w:rFonts w:hint="eastAsia" w:asciiTheme="majorEastAsia" w:hAnsiTheme="majorEastAsia" w:eastAsiaTheme="majorEastAsia"/>
          <w:color w:val="000000"/>
          <w:sz w:val="32"/>
          <w:szCs w:val="32"/>
        </w:rPr>
        <w:t>202</w:t>
      </w:r>
      <w:r>
        <w:rPr>
          <w:rFonts w:hint="eastAsia" w:asciiTheme="majorEastAsia" w:hAnsiTheme="majorEastAsia" w:eastAsiaTheme="majorEastAsia"/>
          <w:color w:val="000000"/>
          <w:sz w:val="32"/>
          <w:szCs w:val="32"/>
          <w:lang w:val="en-US" w:eastAsia="zh-CN"/>
        </w:rPr>
        <w:t>5</w:t>
      </w:r>
      <w:r>
        <w:rPr>
          <w:rFonts w:hint="eastAsia" w:asciiTheme="majorEastAsia" w:hAnsiTheme="majorEastAsia" w:eastAsiaTheme="majorEastAsia"/>
          <w:color w:val="000000"/>
          <w:sz w:val="32"/>
          <w:szCs w:val="32"/>
        </w:rPr>
        <w:t>年</w:t>
      </w:r>
      <w:r>
        <w:rPr>
          <w:rFonts w:hint="eastAsia" w:asciiTheme="majorEastAsia" w:hAnsiTheme="majorEastAsia" w:eastAsiaTheme="majorEastAsia"/>
          <w:color w:val="000000"/>
          <w:sz w:val="32"/>
          <w:szCs w:val="32"/>
          <w:lang w:eastAsia="zh-CN"/>
        </w:rPr>
        <w:t>，</w:t>
      </w:r>
      <w:r>
        <w:rPr>
          <w:rFonts w:hint="eastAsia" w:asciiTheme="majorEastAsia" w:hAnsiTheme="majorEastAsia" w:eastAsiaTheme="majorEastAsia"/>
          <w:color w:val="000000"/>
          <w:sz w:val="32"/>
          <w:szCs w:val="32"/>
        </w:rPr>
        <w:t>一般公共预算上级转移支付补助资金107809万元，其中：财力性补助39460万元；共同事权补助40499万元；专项转移支付补助27850万元。政府性基金上级转移支付补助资金15271万元，同比增长42.87%，主要是超长期特别国债转移支付收入</w:t>
      </w:r>
      <w:r>
        <w:rPr>
          <w:rFonts w:hint="eastAsia" w:asciiTheme="majorEastAsia" w:hAnsiTheme="majorEastAsia" w:eastAsiaTheme="majorEastAsia"/>
          <w:color w:val="000000"/>
          <w:sz w:val="32"/>
          <w:szCs w:val="32"/>
          <w:lang w:val="en-US" w:eastAsia="zh-CN"/>
        </w:rPr>
        <w:t>。</w:t>
      </w:r>
    </w:p>
    <w:p w14:paraId="7AAE1027">
      <w:pPr>
        <w:keepNext w:val="0"/>
        <w:keepLines w:val="0"/>
        <w:widowControl/>
        <w:suppressLineNumbers w:val="0"/>
        <w:spacing w:before="0" w:beforeAutospacing="0" w:after="0" w:afterAutospacing="0"/>
        <w:ind w:right="0" w:firstLine="643" w:firstLineChars="200"/>
        <w:jc w:val="both"/>
        <w:textAlignment w:val="bottom"/>
        <w:rPr>
          <w:rFonts w:ascii="Calibri" w:hAnsi="Calibri"/>
          <w:szCs w:val="22"/>
        </w:rPr>
      </w:pPr>
      <w:r>
        <w:rPr>
          <w:rFonts w:hint="eastAsia" w:asciiTheme="majorEastAsia" w:hAnsiTheme="majorEastAsia" w:eastAsiaTheme="majorEastAsia"/>
          <w:b/>
          <w:sz w:val="32"/>
          <w:szCs w:val="32"/>
        </w:rPr>
        <w:t>六、</w:t>
      </w:r>
      <w:r>
        <w:rPr>
          <w:rFonts w:hint="eastAsia" w:asciiTheme="majorEastAsia" w:hAnsiTheme="majorEastAsia" w:eastAsiaTheme="majorEastAsia"/>
          <w:b/>
          <w:sz w:val="32"/>
          <w:szCs w:val="32"/>
          <w:lang w:val="en-US" w:eastAsia="zh-CN"/>
        </w:rPr>
        <w:t>一般公共预算</w:t>
      </w:r>
      <w:r>
        <w:rPr>
          <w:rFonts w:hint="eastAsia" w:asciiTheme="majorEastAsia" w:hAnsiTheme="majorEastAsia" w:eastAsiaTheme="majorEastAsia"/>
          <w:b/>
          <w:sz w:val="32"/>
          <w:szCs w:val="32"/>
        </w:rPr>
        <w:t>“三公”经费预算执行情况。</w:t>
      </w:r>
      <w:r>
        <w:rPr>
          <w:rFonts w:hint="eastAsia" w:asciiTheme="majorEastAsia" w:hAnsiTheme="majorEastAsia" w:eastAsiaTheme="majorEastAsia"/>
          <w:color w:val="000000"/>
          <w:sz w:val="32"/>
          <w:szCs w:val="32"/>
        </w:rPr>
        <w:t>202</w:t>
      </w:r>
      <w:r>
        <w:rPr>
          <w:rFonts w:hint="eastAsia" w:asciiTheme="majorEastAsia" w:hAnsiTheme="majorEastAsia" w:eastAsiaTheme="majorEastAsia"/>
          <w:color w:val="000000"/>
          <w:sz w:val="32"/>
          <w:szCs w:val="32"/>
          <w:lang w:val="en-US" w:eastAsia="zh-CN"/>
        </w:rPr>
        <w:t>5</w:t>
      </w:r>
      <w:r>
        <w:rPr>
          <w:rFonts w:hint="eastAsia" w:asciiTheme="majorEastAsia" w:hAnsiTheme="majorEastAsia" w:eastAsiaTheme="majorEastAsia"/>
          <w:color w:val="000000"/>
          <w:sz w:val="32"/>
          <w:szCs w:val="32"/>
        </w:rPr>
        <w:t>年,我区从严从紧控制“三公”经费支出，大力压减一般性支出。2025年区本级共安排“三公”经费支出预算数225万元，决算数222万元，占预算的98.67%。其中：公车购置和运行维护费预算数212万元，决算数211万元，占预算的99.53%；公务接待费预算数13万元，决算数12万元，占预算的92.31%；2025年度未发生因公务出国（境）费（见附表）</w:t>
      </w:r>
      <w:r>
        <w:rPr>
          <w:rFonts w:hint="eastAsia" w:asciiTheme="majorEastAsia" w:hAnsiTheme="majorEastAsia" w:eastAsiaTheme="majorEastAsia"/>
          <w:color w:val="000000"/>
          <w:sz w:val="32"/>
          <w:szCs w:val="32"/>
          <w:lang w:eastAsia="zh-CN"/>
        </w:rPr>
        <w:t>。</w:t>
      </w:r>
    </w:p>
    <w:p w14:paraId="1DBA7EDD">
      <w:pPr>
        <w:ind w:firstLine="803" w:firstLineChars="250"/>
        <w:rPr>
          <w:rFonts w:hint="eastAsia" w:asciiTheme="majorEastAsia" w:hAnsiTheme="majorEastAsia" w:eastAsiaTheme="majorEastAsia"/>
          <w:b/>
          <w:sz w:val="32"/>
          <w:szCs w:val="32"/>
        </w:rPr>
      </w:pPr>
      <w:r>
        <w:rPr>
          <w:rFonts w:hint="eastAsia" w:asciiTheme="majorEastAsia" w:hAnsiTheme="majorEastAsia" w:eastAsiaTheme="majorEastAsia"/>
          <w:b/>
          <w:sz w:val="32"/>
          <w:szCs w:val="32"/>
        </w:rPr>
        <w:t>七、政府性债务</w:t>
      </w:r>
      <w:r>
        <w:rPr>
          <w:rFonts w:hint="eastAsia" w:asciiTheme="majorEastAsia" w:hAnsiTheme="majorEastAsia" w:eastAsiaTheme="majorEastAsia"/>
          <w:b/>
          <w:sz w:val="32"/>
          <w:szCs w:val="32"/>
          <w:lang w:val="en-US" w:eastAsia="zh-CN"/>
        </w:rPr>
        <w:t>管理</w:t>
      </w:r>
      <w:r>
        <w:rPr>
          <w:rFonts w:hint="eastAsia" w:asciiTheme="majorEastAsia" w:hAnsiTheme="majorEastAsia" w:eastAsiaTheme="majorEastAsia"/>
          <w:b/>
          <w:sz w:val="32"/>
          <w:szCs w:val="32"/>
        </w:rPr>
        <w:t>情况。</w:t>
      </w:r>
    </w:p>
    <w:p w14:paraId="076D4B2F">
      <w:pPr>
        <w:ind w:firstLine="803" w:firstLineChars="250"/>
        <w:rPr>
          <w:rFonts w:cs="仿宋_GB2312" w:asciiTheme="majorEastAsia" w:hAnsiTheme="majorEastAsia" w:eastAsiaTheme="majorEastAsia"/>
          <w:sz w:val="32"/>
          <w:szCs w:val="32"/>
        </w:rPr>
      </w:pPr>
      <w:r>
        <w:rPr>
          <w:rFonts w:hint="eastAsia" w:cs="仿宋_GB2312" w:asciiTheme="majorEastAsia" w:hAnsiTheme="majorEastAsia" w:eastAsiaTheme="majorEastAsia"/>
          <w:b/>
          <w:sz w:val="32"/>
          <w:szCs w:val="32"/>
        </w:rPr>
        <w:t>（一）</w:t>
      </w:r>
      <w:r>
        <w:rPr>
          <w:rFonts w:hint="eastAsia" w:cs="仿宋_GB2312" w:asciiTheme="majorEastAsia" w:hAnsiTheme="majorEastAsia" w:eastAsiaTheme="majorEastAsia"/>
          <w:b/>
          <w:bCs/>
          <w:sz w:val="32"/>
          <w:szCs w:val="32"/>
        </w:rPr>
        <w:t>202</w:t>
      </w:r>
      <w:r>
        <w:rPr>
          <w:rFonts w:hint="eastAsia" w:cs="仿宋_GB2312" w:asciiTheme="majorEastAsia" w:hAnsiTheme="majorEastAsia" w:eastAsiaTheme="majorEastAsia"/>
          <w:b/>
          <w:bCs/>
          <w:sz w:val="32"/>
          <w:szCs w:val="32"/>
          <w:lang w:val="en-US" w:eastAsia="zh-CN"/>
        </w:rPr>
        <w:t>5</w:t>
      </w:r>
      <w:r>
        <w:rPr>
          <w:rFonts w:hint="eastAsia" w:cs="仿宋_GB2312" w:asciiTheme="majorEastAsia" w:hAnsiTheme="majorEastAsia" w:eastAsiaTheme="majorEastAsia"/>
          <w:b/>
          <w:bCs/>
          <w:sz w:val="32"/>
          <w:szCs w:val="32"/>
        </w:rPr>
        <w:t>年度地方政府债务限额及余额</w:t>
      </w:r>
      <w:r>
        <w:rPr>
          <w:rFonts w:hint="eastAsia" w:cs="仿宋_GB2312" w:asciiTheme="majorEastAsia" w:hAnsiTheme="majorEastAsia" w:eastAsiaTheme="majorEastAsia"/>
          <w:b/>
          <w:bCs/>
          <w:sz w:val="32"/>
          <w:szCs w:val="32"/>
          <w:lang w:val="en-US" w:eastAsia="zh-CN"/>
        </w:rPr>
        <w:t>情况。</w:t>
      </w:r>
      <w:r>
        <w:rPr>
          <w:rFonts w:hint="eastAsia" w:cs="仿宋_GB2312" w:asciiTheme="majorEastAsia" w:hAnsiTheme="majorEastAsia" w:eastAsiaTheme="majorEastAsia"/>
          <w:sz w:val="32"/>
          <w:szCs w:val="32"/>
          <w:lang w:val="en-US" w:eastAsia="zh-CN"/>
        </w:rPr>
        <w:t>2025年潘集区地方政府债务限额352788万元，其中：一般债务限额55800万元，专项债务限额296988万元</w:t>
      </w:r>
      <w:r>
        <w:rPr>
          <w:rFonts w:hint="eastAsia" w:cs="仿宋_GB2312" w:asciiTheme="majorEastAsia" w:hAnsiTheme="majorEastAsia" w:eastAsiaTheme="majorEastAsia"/>
          <w:sz w:val="32"/>
          <w:szCs w:val="32"/>
        </w:rPr>
        <w:t>。</w:t>
      </w:r>
    </w:p>
    <w:p w14:paraId="43AEEE6F">
      <w:pPr>
        <w:ind w:firstLine="800" w:firstLineChars="250"/>
        <w:rPr>
          <w:rFonts w:hint="eastAsia" w:cs="仿宋_GB2312" w:asciiTheme="majorEastAsia" w:hAnsiTheme="majorEastAsia" w:eastAsiaTheme="majorEastAsia"/>
          <w:sz w:val="32"/>
          <w:szCs w:val="32"/>
        </w:rPr>
      </w:pPr>
      <w:r>
        <w:rPr>
          <w:rFonts w:hint="eastAsia" w:cs="仿宋_GB2312" w:asciiTheme="majorEastAsia" w:hAnsiTheme="majorEastAsia" w:eastAsiaTheme="majorEastAsia"/>
          <w:sz w:val="32"/>
          <w:szCs w:val="32"/>
        </w:rPr>
        <w:t>202</w:t>
      </w:r>
      <w:r>
        <w:rPr>
          <w:rFonts w:hint="eastAsia" w:cs="仿宋_GB2312" w:asciiTheme="majorEastAsia" w:hAnsiTheme="majorEastAsia" w:eastAsiaTheme="majorEastAsia"/>
          <w:sz w:val="32"/>
          <w:szCs w:val="32"/>
          <w:lang w:val="en-US" w:eastAsia="zh-CN"/>
        </w:rPr>
        <w:t>5</w:t>
      </w:r>
      <w:r>
        <w:rPr>
          <w:rFonts w:hint="eastAsia" w:cs="仿宋_GB2312" w:asciiTheme="majorEastAsia" w:hAnsiTheme="majorEastAsia" w:eastAsiaTheme="majorEastAsia"/>
          <w:sz w:val="32"/>
          <w:szCs w:val="32"/>
        </w:rPr>
        <w:t>年底，</w:t>
      </w:r>
      <w:r>
        <w:rPr>
          <w:rFonts w:hint="eastAsia" w:cs="仿宋_GB2312" w:asciiTheme="majorEastAsia" w:hAnsiTheme="majorEastAsia" w:eastAsiaTheme="majorEastAsia"/>
          <w:sz w:val="32"/>
          <w:szCs w:val="32"/>
          <w:lang w:val="en-US" w:eastAsia="zh-CN"/>
        </w:rPr>
        <w:t>全区政府性债务余额347021.5万元，其中一般债券54651.5万元，专项债券292370万元，均在债务限额之内。</w:t>
      </w:r>
    </w:p>
    <w:p w14:paraId="5085B5BE">
      <w:pPr>
        <w:ind w:firstLine="803" w:firstLineChars="250"/>
        <w:rPr>
          <w:rFonts w:cs="仿宋_GB2312" w:asciiTheme="majorEastAsia" w:hAnsiTheme="majorEastAsia" w:eastAsiaTheme="majorEastAsia"/>
          <w:b/>
          <w:bCs/>
          <w:sz w:val="32"/>
          <w:szCs w:val="32"/>
        </w:rPr>
      </w:pPr>
      <w:r>
        <w:rPr>
          <w:rFonts w:hint="eastAsia" w:cs="仿宋_GB2312" w:asciiTheme="majorEastAsia" w:hAnsiTheme="majorEastAsia" w:eastAsiaTheme="majorEastAsia"/>
          <w:b/>
          <w:sz w:val="32"/>
          <w:szCs w:val="32"/>
        </w:rPr>
        <w:t>（二）债券发行情况：</w:t>
      </w:r>
    </w:p>
    <w:p w14:paraId="04E8EAAB">
      <w:pPr>
        <w:ind w:firstLine="800" w:firstLineChars="250"/>
        <w:rPr>
          <w:rFonts w:hint="eastAsia" w:cs="仿宋_GB2312" w:asciiTheme="majorEastAsia" w:hAnsiTheme="majorEastAsia" w:eastAsiaTheme="majorEastAsia"/>
          <w:sz w:val="32"/>
          <w:szCs w:val="32"/>
          <w:lang w:val="en-US" w:eastAsia="zh-CN"/>
        </w:rPr>
      </w:pPr>
      <w:r>
        <w:rPr>
          <w:rFonts w:hint="eastAsia" w:cs="仿宋_GB2312" w:asciiTheme="majorEastAsia" w:hAnsiTheme="majorEastAsia" w:eastAsiaTheme="majorEastAsia"/>
          <w:sz w:val="32"/>
          <w:szCs w:val="32"/>
          <w:lang w:val="en-US" w:eastAsia="zh-CN"/>
        </w:rPr>
        <w:t>1、2025年</w:t>
      </w:r>
      <w:bookmarkStart w:id="2" w:name="OLE_LINK7"/>
      <w:r>
        <w:rPr>
          <w:rFonts w:hint="eastAsia" w:cs="仿宋_GB2312" w:asciiTheme="majorEastAsia" w:hAnsiTheme="majorEastAsia" w:eastAsiaTheme="majorEastAsia"/>
          <w:sz w:val="32"/>
          <w:szCs w:val="32"/>
          <w:lang w:val="en-US" w:eastAsia="zh-CN"/>
        </w:rPr>
        <w:t>一般债券额度627万元，</w:t>
      </w:r>
      <w:bookmarkStart w:id="3" w:name="_Hlk207789876"/>
      <w:r>
        <w:rPr>
          <w:rFonts w:hint="eastAsia" w:cs="仿宋_GB2312" w:asciiTheme="majorEastAsia" w:hAnsiTheme="majorEastAsia" w:eastAsiaTheme="majorEastAsia"/>
          <w:sz w:val="32"/>
          <w:szCs w:val="32"/>
          <w:lang w:val="en-US" w:eastAsia="zh-CN"/>
        </w:rPr>
        <w:t>已发行完毕，</w:t>
      </w:r>
      <w:bookmarkEnd w:id="3"/>
      <w:r>
        <w:rPr>
          <w:rFonts w:hint="eastAsia" w:cs="仿宋_GB2312" w:asciiTheme="majorEastAsia" w:hAnsiTheme="majorEastAsia" w:eastAsiaTheme="majorEastAsia"/>
          <w:sz w:val="32"/>
          <w:szCs w:val="32"/>
          <w:lang w:val="en-US" w:eastAsia="zh-CN"/>
        </w:rPr>
        <w:t>其中：用于支持巩固拓展脱贫攻坚成果项目505万元；置换一般债券122万元</w:t>
      </w:r>
      <w:bookmarkEnd w:id="2"/>
      <w:r>
        <w:rPr>
          <w:rFonts w:hint="eastAsia" w:cs="仿宋_GB2312" w:asciiTheme="majorEastAsia" w:hAnsiTheme="majorEastAsia" w:eastAsiaTheme="majorEastAsia"/>
          <w:sz w:val="32"/>
          <w:szCs w:val="32"/>
          <w:lang w:val="en-US" w:eastAsia="zh-CN"/>
        </w:rPr>
        <w:t>。</w:t>
      </w:r>
    </w:p>
    <w:p w14:paraId="3619237E">
      <w:pPr>
        <w:ind w:firstLine="800" w:firstLineChars="250"/>
        <w:rPr>
          <w:rFonts w:hint="eastAsia" w:cs="仿宋_GB2312" w:asciiTheme="majorEastAsia" w:hAnsiTheme="majorEastAsia" w:eastAsiaTheme="majorEastAsia"/>
          <w:sz w:val="32"/>
          <w:szCs w:val="32"/>
          <w:lang w:val="en-US" w:eastAsia="zh-CN"/>
        </w:rPr>
      </w:pPr>
      <w:r>
        <w:rPr>
          <w:rFonts w:hint="eastAsia" w:cs="仿宋_GB2312" w:asciiTheme="majorEastAsia" w:hAnsiTheme="majorEastAsia" w:eastAsiaTheme="majorEastAsia"/>
          <w:sz w:val="32"/>
          <w:szCs w:val="32"/>
          <w:lang w:val="en-US" w:eastAsia="zh-CN"/>
        </w:rPr>
        <w:t>2、2025年专项债券额度74600万元，已发行完毕，其中：淮南市潘集区新材料产业园基础设施建设项目12500万元；淮南市潘集区公益性公墓及殡仪馆改扩建项目1600万元；潘集区城镇再生水回收利用项目10000万元；淮南市潘集区物流基础设施提升改造项目4900万元；潘集区采煤塌陷区生态修复及耕地保护工程一期项目7000万元；长三角能源保供储备基地项目2000万元；安徽淮南现代煤化工循环经济产业园项目（一期）5000万元；偿还PPP项目拖欠款13600万元；用于偿还拖欠企业账款2400万元；置换专项债券15600万元。</w:t>
      </w:r>
    </w:p>
    <w:p w14:paraId="285CED5F">
      <w:pPr>
        <w:ind w:firstLine="803" w:firstLineChars="250"/>
        <w:rPr>
          <w:rFonts w:hint="eastAsia" w:asciiTheme="majorEastAsia" w:hAnsiTheme="majorEastAsia" w:eastAsiaTheme="majorEastAsia"/>
          <w:b/>
          <w:sz w:val="32"/>
          <w:szCs w:val="32"/>
        </w:rPr>
      </w:pPr>
      <w:r>
        <w:rPr>
          <w:rFonts w:hint="eastAsia" w:cs="仿宋_GB2312" w:asciiTheme="majorEastAsia" w:hAnsiTheme="majorEastAsia" w:eastAsiaTheme="majorEastAsia"/>
          <w:b/>
          <w:sz w:val="32"/>
          <w:szCs w:val="32"/>
        </w:rPr>
        <w:t>（</w:t>
      </w:r>
      <w:r>
        <w:rPr>
          <w:rFonts w:hint="eastAsia" w:cs="仿宋_GB2312" w:asciiTheme="majorEastAsia" w:hAnsiTheme="majorEastAsia" w:eastAsiaTheme="majorEastAsia"/>
          <w:b/>
          <w:sz w:val="32"/>
          <w:szCs w:val="32"/>
          <w:lang w:val="en-US" w:eastAsia="zh-CN"/>
        </w:rPr>
        <w:t>三</w:t>
      </w:r>
      <w:r>
        <w:rPr>
          <w:rFonts w:hint="eastAsia" w:cs="仿宋_GB2312" w:asciiTheme="majorEastAsia" w:hAnsiTheme="majorEastAsia" w:eastAsiaTheme="majorEastAsia"/>
          <w:b/>
          <w:sz w:val="32"/>
          <w:szCs w:val="32"/>
        </w:rPr>
        <w:t>）债券还本付息情况：</w:t>
      </w:r>
    </w:p>
    <w:p w14:paraId="18D8B11E">
      <w:pPr>
        <w:ind w:firstLine="800" w:firstLineChars="250"/>
        <w:rPr>
          <w:rFonts w:hint="eastAsia" w:asciiTheme="majorEastAsia" w:hAnsiTheme="majorEastAsia" w:eastAsiaTheme="majorEastAsia"/>
          <w:b w:val="0"/>
          <w:bCs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/>
          <w:b w:val="0"/>
          <w:bCs/>
          <w:sz w:val="32"/>
          <w:szCs w:val="32"/>
          <w:lang w:val="en-US" w:eastAsia="zh-CN"/>
        </w:rPr>
        <w:t>1、2025年到期政府债券本金为22477万元，其中：本级财政资金偿还2249万元，申请再融资金额20228万元，目前已经全部偿还。</w:t>
      </w:r>
    </w:p>
    <w:p w14:paraId="0B898A4F">
      <w:pPr>
        <w:ind w:firstLine="800" w:firstLineChars="250"/>
        <w:rPr>
          <w:rFonts w:hint="default" w:asciiTheme="majorEastAsia" w:hAnsiTheme="majorEastAsia" w:eastAsiaTheme="majorEastAsia"/>
          <w:b w:val="0"/>
          <w:bCs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/>
          <w:b w:val="0"/>
          <w:bCs/>
          <w:sz w:val="32"/>
          <w:szCs w:val="32"/>
          <w:lang w:val="en-US" w:eastAsia="zh-CN"/>
        </w:rPr>
        <w:t>2、决算报表中</w:t>
      </w:r>
      <w:r>
        <w:rPr>
          <w:rFonts w:hint="eastAsia" w:cs="仿宋_GB2312" w:asciiTheme="majorEastAsia" w:hAnsiTheme="majorEastAsia" w:eastAsiaTheme="majorEastAsia"/>
          <w:sz w:val="32"/>
          <w:szCs w:val="32"/>
          <w:lang w:val="en-US" w:eastAsia="zh-CN"/>
        </w:rPr>
        <w:t>置换</w:t>
      </w:r>
      <w:r>
        <w:rPr>
          <w:rFonts w:hint="eastAsia" w:asciiTheme="majorEastAsia" w:hAnsiTheme="majorEastAsia" w:eastAsiaTheme="majorEastAsia"/>
          <w:b w:val="0"/>
          <w:bCs/>
          <w:sz w:val="32"/>
          <w:szCs w:val="32"/>
          <w:lang w:val="en-US" w:eastAsia="zh-CN"/>
        </w:rPr>
        <w:t>债券15722万元按要求列债务还本支出，因此决算报表债务还本支出38198万元。</w:t>
      </w:r>
    </w:p>
    <w:p w14:paraId="48653D28">
      <w:pPr>
        <w:ind w:firstLine="800" w:firstLineChars="250"/>
        <w:rPr>
          <w:rFonts w:hint="eastAsia" w:asciiTheme="majorEastAsia" w:hAnsiTheme="majorEastAsia" w:eastAsiaTheme="majorEastAsia"/>
          <w:b/>
          <w:sz w:val="32"/>
          <w:szCs w:val="32"/>
        </w:rPr>
      </w:pPr>
      <w:r>
        <w:rPr>
          <w:rFonts w:hint="eastAsia" w:asciiTheme="majorEastAsia" w:hAnsiTheme="majorEastAsia" w:eastAsiaTheme="majorEastAsia"/>
          <w:b w:val="0"/>
          <w:bCs/>
          <w:sz w:val="32"/>
          <w:szCs w:val="32"/>
          <w:lang w:val="en-US" w:eastAsia="zh-CN"/>
        </w:rPr>
        <w:t>3、2025年应付债券利息8538万元，其中一般债券付息1734万元，专项债券付息6804万元；发行费用79万元；其中一般债券4万元，专项债券75万元。（年终市区结算代扣）。</w:t>
      </w:r>
    </w:p>
    <w:p w14:paraId="1BD273E7">
      <w:pPr>
        <w:ind w:firstLine="803" w:firstLineChars="250"/>
        <w:rPr>
          <w:rFonts w:hint="eastAsia" w:cs="仿宋" w:asciiTheme="majorEastAsia" w:hAnsiTheme="majorEastAsia" w:eastAsia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/>
          <w:b/>
          <w:sz w:val="32"/>
          <w:szCs w:val="32"/>
        </w:rPr>
        <w:t>八、预算绩效管理情况</w:t>
      </w:r>
    </w:p>
    <w:p w14:paraId="5BE24E92">
      <w:pPr>
        <w:spacing w:line="600" w:lineRule="exact"/>
        <w:ind w:firstLine="640" w:firstLineChars="200"/>
        <w:rPr>
          <w:rFonts w:hint="eastAsia" w:asciiTheme="majorEastAsia" w:hAnsiTheme="majorEastAsia" w:eastAsiaTheme="majorEastAsia"/>
          <w:b w:val="0"/>
          <w:bCs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/>
          <w:b w:val="0"/>
          <w:bCs/>
          <w:sz w:val="32"/>
          <w:szCs w:val="32"/>
          <w:lang w:val="en-US" w:eastAsia="zh-CN"/>
        </w:rPr>
        <w:t>2025年，预算绩效管理闭环基本形成，严格遵循“预算编制有目标、预算执行有监控、预算完成有评价、评价结果有应用”的全链条管理要求，将绩效理念深度融入预算编制、执行、监督全过程。在目标审核上，强化绩效指标与部门职能、项目内容的匹配度审查，确保资金投向精准；在执行监控上，依托一体化系统对全区项目实施预算执行监控，及时纠偏止损；在评价应用上，2025年选取社会关注度高、资金规模较大的6个重点领域项目开展财政重点绩效评价，涵盖资金11695万元，将评价结果作为下年预算安排的重要依据，对低效项目资金予以压减或取消，真正实现“花钱必问效、无效必问责”。同时，积极探索成本预算绩效管理新路径，以垃圾处理费为试点项目，通过核定作业成本、优化流程、压减非必要运营开支等举措，在保障公共服务质量的前提下，实现项目成本削减率13.82%，为下一步分领域、分行业扩大成本绩效管理覆盖面积累了可复制、可推广的实践经验。</w:t>
      </w:r>
    </w:p>
    <w:p w14:paraId="1EACCDDC">
      <w:pPr>
        <w:spacing w:line="600" w:lineRule="exact"/>
        <w:ind w:firstLine="643" w:firstLineChars="200"/>
        <w:rPr>
          <w:rFonts w:asciiTheme="majorEastAsia" w:hAnsiTheme="majorEastAsia" w:eastAsiaTheme="majorEastAsia"/>
          <w:b/>
          <w:sz w:val="32"/>
          <w:szCs w:val="32"/>
        </w:rPr>
      </w:pPr>
      <w:r>
        <w:rPr>
          <w:rFonts w:hint="eastAsia" w:asciiTheme="majorEastAsia" w:hAnsiTheme="majorEastAsia" w:eastAsiaTheme="majorEastAsia"/>
          <w:b/>
          <w:sz w:val="32"/>
          <w:szCs w:val="32"/>
        </w:rPr>
        <w:t>九、政府</w:t>
      </w:r>
      <w:r>
        <w:rPr>
          <w:rFonts w:hint="eastAsia" w:asciiTheme="majorEastAsia" w:hAnsiTheme="majorEastAsia" w:eastAsiaTheme="majorEastAsia"/>
          <w:b/>
          <w:sz w:val="32"/>
          <w:szCs w:val="32"/>
          <w:lang w:val="en-US" w:eastAsia="zh-CN"/>
        </w:rPr>
        <w:t>财政</w:t>
      </w:r>
      <w:r>
        <w:rPr>
          <w:rFonts w:hint="eastAsia" w:asciiTheme="majorEastAsia" w:hAnsiTheme="majorEastAsia" w:eastAsiaTheme="majorEastAsia"/>
          <w:b/>
          <w:sz w:val="32"/>
          <w:szCs w:val="32"/>
        </w:rPr>
        <w:t>决算报告批复情况</w:t>
      </w:r>
    </w:p>
    <w:p w14:paraId="76A899D0">
      <w:pPr>
        <w:spacing w:line="680" w:lineRule="exact"/>
        <w:ind w:firstLine="640" w:firstLineChars="200"/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潘集区财政局《关于20</w:t>
      </w:r>
      <w:r>
        <w:rPr>
          <w:rFonts w:asciiTheme="majorEastAsia" w:hAnsiTheme="majorEastAsia" w:eastAsiaTheme="majorEastAsia"/>
          <w:sz w:val="32"/>
          <w:szCs w:val="32"/>
        </w:rPr>
        <w:t>2</w:t>
      </w: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5</w:t>
      </w:r>
      <w:r>
        <w:rPr>
          <w:rFonts w:hint="eastAsia" w:asciiTheme="majorEastAsia" w:hAnsiTheme="majorEastAsia" w:eastAsiaTheme="majorEastAsia"/>
          <w:sz w:val="32"/>
          <w:szCs w:val="32"/>
        </w:rPr>
        <w:t>年财政决算（草案）和202</w:t>
      </w: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6</w:t>
      </w:r>
      <w:r>
        <w:rPr>
          <w:rFonts w:hint="eastAsia" w:asciiTheme="majorEastAsia" w:hAnsiTheme="majorEastAsia" w:eastAsiaTheme="majorEastAsia"/>
          <w:sz w:val="32"/>
          <w:szCs w:val="32"/>
        </w:rPr>
        <w:t>年上半年财政预算执行情况的报告》是于202</w:t>
      </w: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6</w:t>
      </w:r>
      <w:r>
        <w:rPr>
          <w:rFonts w:hint="eastAsia" w:asciiTheme="majorEastAsia" w:hAnsiTheme="majorEastAsia" w:eastAsiaTheme="majorEastAsia"/>
          <w:sz w:val="32"/>
          <w:szCs w:val="32"/>
        </w:rPr>
        <w:t>年</w:t>
      </w: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8</w:t>
      </w:r>
      <w:r>
        <w:rPr>
          <w:rFonts w:hint="eastAsia" w:asciiTheme="majorEastAsia" w:hAnsiTheme="majorEastAsia" w:eastAsiaTheme="majorEastAsia"/>
          <w:sz w:val="32"/>
          <w:szCs w:val="32"/>
        </w:rPr>
        <w:t>月</w:t>
      </w: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28</w:t>
      </w:r>
      <w:r>
        <w:rPr>
          <w:rFonts w:hint="eastAsia" w:asciiTheme="majorEastAsia" w:hAnsiTheme="majorEastAsia" w:eastAsiaTheme="majorEastAsia"/>
          <w:sz w:val="32"/>
          <w:szCs w:val="32"/>
        </w:rPr>
        <w:t>日在区十一届人大常委会</w:t>
      </w: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第四十一</w:t>
      </w:r>
      <w:r>
        <w:rPr>
          <w:rFonts w:hint="eastAsia" w:asciiTheme="majorEastAsia" w:hAnsiTheme="majorEastAsia" w:eastAsiaTheme="majorEastAsia"/>
          <w:sz w:val="32"/>
          <w:szCs w:val="32"/>
        </w:rPr>
        <w:t>次会议上通过，并于202</w:t>
      </w: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6</w:t>
      </w:r>
      <w:r>
        <w:rPr>
          <w:rFonts w:hint="eastAsia" w:asciiTheme="majorEastAsia" w:hAnsiTheme="majorEastAsia" w:eastAsiaTheme="majorEastAsia"/>
          <w:sz w:val="32"/>
          <w:szCs w:val="32"/>
        </w:rPr>
        <w:t>年</w:t>
      </w: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8</w:t>
      </w:r>
      <w:r>
        <w:rPr>
          <w:rFonts w:hint="eastAsia" w:asciiTheme="majorEastAsia" w:hAnsiTheme="majorEastAsia" w:eastAsiaTheme="majorEastAsia"/>
          <w:sz w:val="32"/>
          <w:szCs w:val="32"/>
        </w:rPr>
        <w:t>月</w:t>
      </w: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28</w:t>
      </w:r>
      <w:r>
        <w:rPr>
          <w:rFonts w:hint="eastAsia" w:asciiTheme="majorEastAsia" w:hAnsiTheme="majorEastAsia" w:eastAsiaTheme="majorEastAsia"/>
          <w:sz w:val="32"/>
          <w:szCs w:val="32"/>
        </w:rPr>
        <w:t>日经区人大常委会批复</w:t>
      </w:r>
      <w:r>
        <w:rPr>
          <w:rFonts w:hint="eastAsia" w:asciiTheme="majorEastAsia" w:hAnsiTheme="majorEastAsia" w:eastAsiaTheme="majorEastAsia"/>
          <w:sz w:val="32"/>
          <w:szCs w:val="32"/>
          <w:lang w:eastAsia="zh-CN"/>
        </w:rPr>
        <w:t>（潘</w:t>
      </w: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人常[2026]38号</w:t>
      </w:r>
      <w:r>
        <w:rPr>
          <w:rFonts w:hint="eastAsia" w:asciiTheme="majorEastAsia" w:hAnsiTheme="majorEastAsia" w:eastAsiaTheme="majorEastAsia"/>
          <w:sz w:val="32"/>
          <w:szCs w:val="32"/>
          <w:lang w:eastAsia="zh-CN"/>
        </w:rPr>
        <w:t>）</w:t>
      </w:r>
      <w:r>
        <w:rPr>
          <w:rFonts w:hint="eastAsia" w:asciiTheme="majorEastAsia" w:hAnsiTheme="majorEastAsia" w:eastAsiaTheme="majorEastAsia"/>
          <w:sz w:val="32"/>
          <w:szCs w:val="32"/>
        </w:rPr>
        <w:t>。</w:t>
      </w:r>
    </w:p>
    <w:p w14:paraId="09106724">
      <w:pPr>
        <w:numPr>
          <w:ilvl w:val="0"/>
          <w:numId w:val="1"/>
        </w:numPr>
        <w:spacing w:line="680" w:lineRule="exact"/>
        <w:ind w:firstLine="643" w:firstLineChars="200"/>
        <w:rPr>
          <w:rFonts w:hint="eastAsia" w:asciiTheme="majorEastAsia" w:hAnsiTheme="majorEastAsia" w:eastAsiaTheme="majorEastAsia"/>
          <w:b/>
          <w:sz w:val="32"/>
          <w:szCs w:val="32"/>
        </w:rPr>
      </w:pPr>
      <w:r>
        <w:rPr>
          <w:rFonts w:hint="eastAsia" w:asciiTheme="majorEastAsia" w:hAnsiTheme="majorEastAsia" w:eastAsiaTheme="majorEastAsia"/>
          <w:b/>
          <w:sz w:val="32"/>
          <w:szCs w:val="32"/>
        </w:rPr>
        <w:t>预算执行</w:t>
      </w:r>
      <w:r>
        <w:rPr>
          <w:rFonts w:hint="eastAsia" w:asciiTheme="majorEastAsia" w:hAnsiTheme="majorEastAsia" w:eastAsiaTheme="majorEastAsia"/>
          <w:b/>
          <w:sz w:val="32"/>
          <w:szCs w:val="32"/>
          <w:lang w:val="en-US" w:eastAsia="zh-CN"/>
        </w:rPr>
        <w:t>相关</w:t>
      </w:r>
      <w:r>
        <w:rPr>
          <w:rFonts w:hint="eastAsia" w:asciiTheme="majorEastAsia" w:hAnsiTheme="majorEastAsia" w:eastAsiaTheme="majorEastAsia"/>
          <w:b/>
          <w:sz w:val="32"/>
          <w:szCs w:val="32"/>
        </w:rPr>
        <w:t>情况说明</w:t>
      </w:r>
    </w:p>
    <w:p w14:paraId="7B3B5E5C">
      <w:pPr>
        <w:numPr>
          <w:ilvl w:val="0"/>
          <w:numId w:val="0"/>
        </w:numPr>
        <w:spacing w:line="680" w:lineRule="exact"/>
        <w:ind w:firstLine="643" w:firstLineChars="200"/>
        <w:rPr>
          <w:rFonts w:hint="eastAsia" w:asciiTheme="majorEastAsia" w:hAnsiTheme="majorEastAsia" w:eastAsiaTheme="majorEastAsia"/>
          <w:b w:val="0"/>
          <w:bCs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/>
          <w:b/>
          <w:bCs w:val="0"/>
          <w:sz w:val="32"/>
          <w:szCs w:val="32"/>
          <w:lang w:val="en-US" w:eastAsia="zh-CN"/>
        </w:rPr>
        <w:t>（一）上级财政补助情况。</w:t>
      </w:r>
      <w:r>
        <w:rPr>
          <w:rFonts w:hint="eastAsia" w:asciiTheme="majorEastAsia" w:hAnsiTheme="majorEastAsia" w:eastAsiaTheme="majorEastAsia"/>
          <w:b w:val="0"/>
          <w:bCs/>
          <w:sz w:val="32"/>
          <w:szCs w:val="32"/>
          <w:lang w:val="en-US" w:eastAsia="zh-CN"/>
        </w:rPr>
        <w:t>2025年，一般公共预算上级转移支付补助资金107809万元，其中：财力性补助39460万元；共同事权补助40499万元；专项转移支付补助27850万元。政府性基金上级转移支付补助资金15271万元，同比增长42.87%，主要是超长期特别国债转移支付收入。</w:t>
      </w:r>
    </w:p>
    <w:p w14:paraId="13341418">
      <w:pPr>
        <w:spacing w:line="680" w:lineRule="exact"/>
        <w:ind w:firstLine="643" w:firstLineChars="200"/>
        <w:rPr>
          <w:rFonts w:hint="eastAsia" w:asciiTheme="majorEastAsia" w:hAnsiTheme="majorEastAsia" w:eastAsiaTheme="majorEastAsia"/>
          <w:b w:val="0"/>
          <w:bCs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/>
          <w:b/>
          <w:bCs w:val="0"/>
          <w:sz w:val="32"/>
          <w:szCs w:val="32"/>
          <w:lang w:eastAsia="zh-CN"/>
        </w:rPr>
        <w:t>（</w:t>
      </w:r>
      <w:r>
        <w:rPr>
          <w:rFonts w:hint="eastAsia" w:asciiTheme="majorEastAsia" w:hAnsiTheme="majorEastAsia" w:eastAsiaTheme="majorEastAsia"/>
          <w:b/>
          <w:bCs w:val="0"/>
          <w:sz w:val="32"/>
          <w:szCs w:val="32"/>
          <w:lang w:val="en-US" w:eastAsia="zh-CN"/>
        </w:rPr>
        <w:t>二</w:t>
      </w:r>
      <w:r>
        <w:rPr>
          <w:rFonts w:hint="eastAsia" w:asciiTheme="majorEastAsia" w:hAnsiTheme="majorEastAsia" w:eastAsiaTheme="majorEastAsia"/>
          <w:b/>
          <w:bCs w:val="0"/>
          <w:sz w:val="32"/>
          <w:szCs w:val="32"/>
          <w:lang w:eastAsia="zh-CN"/>
        </w:rPr>
        <w:t>）</w:t>
      </w:r>
      <w:r>
        <w:rPr>
          <w:rFonts w:hint="eastAsia" w:asciiTheme="majorEastAsia" w:hAnsiTheme="majorEastAsia" w:eastAsiaTheme="majorEastAsia"/>
          <w:b/>
          <w:bCs w:val="0"/>
          <w:sz w:val="32"/>
          <w:szCs w:val="32"/>
          <w:lang w:val="en-US" w:eastAsia="zh-CN"/>
        </w:rPr>
        <w:t>深化财政改革情况。</w:t>
      </w:r>
      <w:r>
        <w:rPr>
          <w:rFonts w:hint="eastAsia" w:asciiTheme="majorEastAsia" w:hAnsiTheme="majorEastAsia" w:eastAsiaTheme="majorEastAsia"/>
          <w:b w:val="0"/>
          <w:bCs/>
          <w:sz w:val="32"/>
          <w:szCs w:val="32"/>
          <w:lang w:val="en-US" w:eastAsia="zh-CN"/>
        </w:rPr>
        <w:t>一是纵深推进零基预算改革，改革范围覆盖四本预算，所有支出项目从零开展评估审核；二是预算绩效管理闭环基本形成，抓实绩效目标设定、执行动态监控、绩效评价实施、结果刚性应用各环节，2025年对6个重点项目开展财政重点绩效评价，涉及资金11695万元，评价结果与预算安排挂钩；同步开展垃圾处理费成本绩效管理试点，实现项目成本削减率13.82%；三是国库库款管理安全高效，严格落实国库集中支付制度，资金调度优先保障“三保”、债务还本付息等刚性支出，全年库款运行平稳有序，库款保障水平基本保持在合理区间。</w:t>
      </w:r>
      <w:bookmarkStart w:id="4" w:name="_GoBack"/>
      <w:bookmarkEnd w:id="4"/>
    </w:p>
    <w:p w14:paraId="0D3749B8">
      <w:pPr>
        <w:spacing w:line="680" w:lineRule="exact"/>
        <w:ind w:firstLine="643" w:firstLineChars="200"/>
        <w:rPr>
          <w:rFonts w:hint="eastAsia" w:asciiTheme="majorEastAsia" w:hAnsiTheme="majorEastAsia" w:eastAsiaTheme="majorEastAsia"/>
          <w:b w:val="0"/>
          <w:bCs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/>
          <w:b/>
          <w:bCs w:val="0"/>
          <w:sz w:val="32"/>
          <w:szCs w:val="32"/>
          <w:lang w:val="en-US" w:eastAsia="zh-CN"/>
        </w:rPr>
        <w:t>（三）压减“三公”经费情况。</w:t>
      </w:r>
      <w:r>
        <w:rPr>
          <w:rFonts w:hint="eastAsia" w:asciiTheme="majorEastAsia" w:hAnsiTheme="majorEastAsia" w:eastAsiaTheme="majorEastAsia"/>
          <w:b w:val="0"/>
          <w:bCs/>
          <w:sz w:val="32"/>
          <w:szCs w:val="32"/>
          <w:lang w:val="en-US" w:eastAsia="zh-CN"/>
        </w:rPr>
        <w:t>进一步加强财政支出管控，从严压减一般性开支，全力守牢基层“三保”底线。厉行勤俭节约，严控“三公”经费，牢固树立党政机关过紧日子思想，从严审批公务接待、公车运维、公车购置等支出，全年“三公”经费支出222万元，较上年减少2万元，同比下降1%。</w:t>
      </w:r>
    </w:p>
    <w:p w14:paraId="5B8CB66D">
      <w:pPr>
        <w:spacing w:line="680" w:lineRule="exact"/>
        <w:ind w:firstLine="643" w:firstLineChars="200"/>
        <w:rPr>
          <w:rFonts w:hint="eastAsia" w:asciiTheme="majorEastAsia" w:hAnsiTheme="majorEastAsia" w:eastAsiaTheme="majorEastAsia"/>
          <w:b w:val="0"/>
          <w:bCs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/>
          <w:b/>
          <w:bCs w:val="0"/>
          <w:sz w:val="32"/>
          <w:szCs w:val="32"/>
        </w:rPr>
        <w:t>（四）</w:t>
      </w:r>
      <w:r>
        <w:rPr>
          <w:rFonts w:hint="eastAsia" w:asciiTheme="majorEastAsia" w:hAnsiTheme="majorEastAsia" w:eastAsiaTheme="majorEastAsia"/>
          <w:b/>
          <w:bCs w:val="0"/>
          <w:sz w:val="32"/>
          <w:szCs w:val="32"/>
          <w:lang w:val="en-US" w:eastAsia="zh-CN"/>
        </w:rPr>
        <w:t>债券发行及还本付息情况。</w:t>
      </w:r>
      <w:r>
        <w:rPr>
          <w:rFonts w:hint="eastAsia" w:asciiTheme="majorEastAsia" w:hAnsiTheme="majorEastAsia" w:eastAsiaTheme="majorEastAsia"/>
          <w:b w:val="0"/>
          <w:bCs/>
          <w:sz w:val="32"/>
          <w:szCs w:val="32"/>
          <w:lang w:val="en-US" w:eastAsia="zh-CN"/>
        </w:rPr>
        <w:t>2025年，省财政厅下达我区一般债券额度627万元，专项债券额度74600万元，全年已全部发行完毕。2025年到期政府债券本金为22477万元，其中：使用本级财政资金偿还2249万元，申请再融资债券资金偿还20228万元，目前已经全部偿还到位。2025年应付债券利息8538.24万元，已通过年终市区财政结算一次性扣除偿还。截至2025年底，全区政府性债务余额347021.5万元，其中一般债券54651.5万元，专项债券292370万元。</w:t>
      </w:r>
    </w:p>
    <w:p w14:paraId="3C5460C3">
      <w:pPr>
        <w:spacing w:line="680" w:lineRule="exact"/>
        <w:ind w:firstLine="643" w:firstLineChars="200"/>
        <w:rPr>
          <w:rFonts w:hint="eastAsia" w:asciiTheme="majorEastAsia" w:hAnsiTheme="majorEastAsia" w:eastAsiaTheme="majorEastAsia"/>
          <w:b w:val="0"/>
          <w:bCs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/>
          <w:b/>
          <w:bCs w:val="0"/>
          <w:sz w:val="32"/>
          <w:szCs w:val="32"/>
          <w:lang w:val="en-US" w:eastAsia="zh-CN"/>
        </w:rPr>
        <w:t>（五）优化营商环境情况。</w:t>
      </w:r>
      <w:r>
        <w:rPr>
          <w:rFonts w:hint="eastAsia" w:asciiTheme="majorEastAsia" w:hAnsiTheme="majorEastAsia" w:eastAsiaTheme="majorEastAsia"/>
          <w:b w:val="0"/>
          <w:bCs/>
          <w:sz w:val="32"/>
          <w:szCs w:val="32"/>
          <w:lang w:val="en-US" w:eastAsia="zh-CN"/>
        </w:rPr>
        <w:t>2025年持续优化涉企服务，多措并举助力市场主体健康发展。一是优化政府采购营商环境，严格落实政府采购支持中小企业发展相关政策，多措并举减轻企业资金压力，降低供应商交易成本。2025年完成政府采购项目51个，预算金额7605.53万元，实际成交金额5703.22万元，累计节约财政资金1902.31万元，政府采购效率与资金使用效益同步提升。二是强化金融助企纾困，发挥政银担联动作用，2025年累计完成担保业务2115笔83.13亿元，其中政银担业务1193笔43.48亿元。目前在保企业146户，在保余额180笔7.45亿元，其中政银担在保162笔6.39亿元，有效缓解小微企业融资难、融资贵问题，为小微企业发展注入金融活水。</w:t>
      </w:r>
    </w:p>
    <w:p w14:paraId="3AF6FF29">
      <w:pPr>
        <w:spacing w:line="680" w:lineRule="exact"/>
        <w:ind w:firstLine="643" w:firstLineChars="200"/>
        <w:rPr>
          <w:rFonts w:hint="eastAsia" w:asciiTheme="majorEastAsia" w:hAnsiTheme="majorEastAsia" w:eastAsiaTheme="majorEastAsia"/>
          <w:b w:val="0"/>
          <w:bCs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/>
          <w:b/>
          <w:bCs w:val="0"/>
          <w:sz w:val="32"/>
          <w:szCs w:val="32"/>
          <w:lang w:val="en-US" w:eastAsia="zh-CN"/>
        </w:rPr>
        <w:t>（六）其他重要事项。</w:t>
      </w:r>
      <w:r>
        <w:rPr>
          <w:rFonts w:hint="eastAsia" w:asciiTheme="majorEastAsia" w:hAnsiTheme="majorEastAsia" w:eastAsiaTheme="majorEastAsia"/>
          <w:b w:val="0"/>
          <w:bCs/>
          <w:sz w:val="32"/>
          <w:szCs w:val="32"/>
          <w:lang w:val="en-US" w:eastAsia="zh-CN"/>
        </w:rPr>
        <w:t>2025年年初预算安排预备费2000万元，当年未发生支出。2025年一般公共预算收入实现超收1176万元，根据预算法规定，补充安排预算稳定调节基金1176万元。</w:t>
      </w:r>
    </w:p>
    <w:p w14:paraId="2CF82A27">
      <w:pPr>
        <w:spacing w:line="680" w:lineRule="exact"/>
        <w:ind w:firstLine="640" w:firstLineChars="200"/>
        <w:rPr>
          <w:rFonts w:hint="eastAsia" w:asciiTheme="majorEastAsia" w:hAnsiTheme="majorEastAsia" w:eastAsiaTheme="majorEastAsia"/>
          <w:b w:val="0"/>
          <w:bCs/>
          <w:sz w:val="32"/>
          <w:szCs w:val="32"/>
          <w:lang w:val="en-US" w:eastAsia="zh-CN"/>
        </w:rPr>
      </w:pPr>
    </w:p>
    <w:p w14:paraId="2F64EB10">
      <w:pPr>
        <w:spacing w:line="680" w:lineRule="exact"/>
        <w:ind w:firstLine="640" w:firstLineChars="200"/>
        <w:rPr>
          <w:rFonts w:asciiTheme="majorEastAsia" w:hAnsiTheme="majorEastAsia" w:eastAsiaTheme="majorEastAsia"/>
          <w:b w:val="0"/>
          <w:bCs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11FEB8"/>
    <w:multiLevelType w:val="singleLevel"/>
    <w:tmpl w:val="8811FEB8"/>
    <w:lvl w:ilvl="0" w:tentative="0">
      <w:start w:val="10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2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2"/>
  </w:compat>
  <w:docVars>
    <w:docVar w:name="commondata" w:val="eyJoZGlkIjoiM2IyYWVmN2QwOWU1YTk1OWYxZjVkMGIxYjAyNDMxMWUifQ=="/>
  </w:docVars>
  <w:rsids>
    <w:rsidRoot w:val="007E4E3B"/>
    <w:rsid w:val="000116D1"/>
    <w:rsid w:val="00034CDC"/>
    <w:rsid w:val="00054C65"/>
    <w:rsid w:val="00104F4A"/>
    <w:rsid w:val="00121ECB"/>
    <w:rsid w:val="001242CC"/>
    <w:rsid w:val="0015396D"/>
    <w:rsid w:val="00154887"/>
    <w:rsid w:val="00185A7F"/>
    <w:rsid w:val="00190760"/>
    <w:rsid w:val="001A03F4"/>
    <w:rsid w:val="001A5E51"/>
    <w:rsid w:val="001D0680"/>
    <w:rsid w:val="0022313A"/>
    <w:rsid w:val="002240E7"/>
    <w:rsid w:val="0024661E"/>
    <w:rsid w:val="00262F4E"/>
    <w:rsid w:val="00274C25"/>
    <w:rsid w:val="00293710"/>
    <w:rsid w:val="002B4AE7"/>
    <w:rsid w:val="002D64A1"/>
    <w:rsid w:val="003066E1"/>
    <w:rsid w:val="00334086"/>
    <w:rsid w:val="00341286"/>
    <w:rsid w:val="00345F93"/>
    <w:rsid w:val="0037063E"/>
    <w:rsid w:val="003D3FBA"/>
    <w:rsid w:val="003F248F"/>
    <w:rsid w:val="004101D0"/>
    <w:rsid w:val="00437A75"/>
    <w:rsid w:val="00443056"/>
    <w:rsid w:val="00445029"/>
    <w:rsid w:val="004453F4"/>
    <w:rsid w:val="00454DB2"/>
    <w:rsid w:val="004B28A9"/>
    <w:rsid w:val="004E75A9"/>
    <w:rsid w:val="00554EE0"/>
    <w:rsid w:val="005B6B02"/>
    <w:rsid w:val="005C664A"/>
    <w:rsid w:val="00614D42"/>
    <w:rsid w:val="00616C6B"/>
    <w:rsid w:val="00636932"/>
    <w:rsid w:val="00640A89"/>
    <w:rsid w:val="00644DD5"/>
    <w:rsid w:val="00655CA2"/>
    <w:rsid w:val="006819C3"/>
    <w:rsid w:val="00683E14"/>
    <w:rsid w:val="006B5927"/>
    <w:rsid w:val="006E3C90"/>
    <w:rsid w:val="00712C47"/>
    <w:rsid w:val="007526FB"/>
    <w:rsid w:val="00765C50"/>
    <w:rsid w:val="007E3B1A"/>
    <w:rsid w:val="007E4E3B"/>
    <w:rsid w:val="007F0E84"/>
    <w:rsid w:val="00812264"/>
    <w:rsid w:val="0083782E"/>
    <w:rsid w:val="008733DF"/>
    <w:rsid w:val="0089080A"/>
    <w:rsid w:val="008B4564"/>
    <w:rsid w:val="008C6C23"/>
    <w:rsid w:val="008D2059"/>
    <w:rsid w:val="008E53AA"/>
    <w:rsid w:val="00921F88"/>
    <w:rsid w:val="00926B9C"/>
    <w:rsid w:val="009275F8"/>
    <w:rsid w:val="009C089E"/>
    <w:rsid w:val="009C1FAD"/>
    <w:rsid w:val="009D05AD"/>
    <w:rsid w:val="009E0E08"/>
    <w:rsid w:val="00A04856"/>
    <w:rsid w:val="00A40328"/>
    <w:rsid w:val="00A53863"/>
    <w:rsid w:val="00A80E13"/>
    <w:rsid w:val="00AA6019"/>
    <w:rsid w:val="00AE5A05"/>
    <w:rsid w:val="00B0773E"/>
    <w:rsid w:val="00B15B3A"/>
    <w:rsid w:val="00B31AA6"/>
    <w:rsid w:val="00B5121D"/>
    <w:rsid w:val="00BA0B6E"/>
    <w:rsid w:val="00BC1AB3"/>
    <w:rsid w:val="00C20C93"/>
    <w:rsid w:val="00C72015"/>
    <w:rsid w:val="00C73B60"/>
    <w:rsid w:val="00C9369A"/>
    <w:rsid w:val="00CF74B3"/>
    <w:rsid w:val="00D067F8"/>
    <w:rsid w:val="00D158C4"/>
    <w:rsid w:val="00D34194"/>
    <w:rsid w:val="00D75C07"/>
    <w:rsid w:val="00DD1AFD"/>
    <w:rsid w:val="00DD215A"/>
    <w:rsid w:val="00E01EE8"/>
    <w:rsid w:val="00E25DE3"/>
    <w:rsid w:val="00E26474"/>
    <w:rsid w:val="00E577BD"/>
    <w:rsid w:val="00E64EE0"/>
    <w:rsid w:val="00E65C27"/>
    <w:rsid w:val="00E818D0"/>
    <w:rsid w:val="00EB2A9D"/>
    <w:rsid w:val="00EF0FB4"/>
    <w:rsid w:val="00F00BDA"/>
    <w:rsid w:val="00F434CF"/>
    <w:rsid w:val="00F50D5C"/>
    <w:rsid w:val="00F6145E"/>
    <w:rsid w:val="00F81203"/>
    <w:rsid w:val="00F96128"/>
    <w:rsid w:val="00FB1D2F"/>
    <w:rsid w:val="00FE2A32"/>
    <w:rsid w:val="039B6B95"/>
    <w:rsid w:val="095114C0"/>
    <w:rsid w:val="09847D1C"/>
    <w:rsid w:val="09AA1B8C"/>
    <w:rsid w:val="0A055CF6"/>
    <w:rsid w:val="0C06225E"/>
    <w:rsid w:val="13F968AE"/>
    <w:rsid w:val="18D730C4"/>
    <w:rsid w:val="195B781C"/>
    <w:rsid w:val="1AD20F65"/>
    <w:rsid w:val="1C582730"/>
    <w:rsid w:val="1C9F7B1F"/>
    <w:rsid w:val="213D0ADA"/>
    <w:rsid w:val="2A5F7EBA"/>
    <w:rsid w:val="31693288"/>
    <w:rsid w:val="32290DE5"/>
    <w:rsid w:val="3BCB44F6"/>
    <w:rsid w:val="3FF35B8C"/>
    <w:rsid w:val="3FF56C88"/>
    <w:rsid w:val="411F5E68"/>
    <w:rsid w:val="42ED123B"/>
    <w:rsid w:val="433631FB"/>
    <w:rsid w:val="43F459E4"/>
    <w:rsid w:val="444A742D"/>
    <w:rsid w:val="476169DB"/>
    <w:rsid w:val="47FA1822"/>
    <w:rsid w:val="49CA5E32"/>
    <w:rsid w:val="51EE7A48"/>
    <w:rsid w:val="5522336E"/>
    <w:rsid w:val="577E64AD"/>
    <w:rsid w:val="57CD4D3F"/>
    <w:rsid w:val="597F7432"/>
    <w:rsid w:val="5A510D50"/>
    <w:rsid w:val="5B7319DE"/>
    <w:rsid w:val="5DBC0C51"/>
    <w:rsid w:val="5DD64ABE"/>
    <w:rsid w:val="5E714CB3"/>
    <w:rsid w:val="611C11AF"/>
    <w:rsid w:val="629B183E"/>
    <w:rsid w:val="68DB687C"/>
    <w:rsid w:val="6AF456EB"/>
    <w:rsid w:val="6E07665B"/>
    <w:rsid w:val="6F4F4560"/>
    <w:rsid w:val="77056897"/>
    <w:rsid w:val="78254990"/>
    <w:rsid w:val="784C17F9"/>
    <w:rsid w:val="79E75CDF"/>
    <w:rsid w:val="7FBE5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1">
    <w:name w:val="Default Paragraph Font"/>
    <w:unhideWhenUsed/>
    <w:qFormat/>
    <w:uiPriority w:val="1"/>
  </w:style>
  <w:style w:type="table" w:default="1" w:styleId="9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7"/>
    <w:semiHidden/>
    <w:unhideWhenUsed/>
    <w:qFormat/>
    <w:uiPriority w:val="99"/>
    <w:pPr>
      <w:spacing w:after="120" w:afterLines="0" w:afterAutospacing="0"/>
    </w:pPr>
  </w:style>
  <w:style w:type="paragraph" w:styleId="4">
    <w:name w:val="Body Text Indent"/>
    <w:basedOn w:val="1"/>
    <w:link w:val="19"/>
    <w:qFormat/>
    <w:uiPriority w:val="0"/>
    <w:pPr>
      <w:spacing w:after="120"/>
      <w:ind w:left="420" w:leftChars="200"/>
    </w:pPr>
    <w:rPr>
      <w:kern w:val="0"/>
    </w:r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6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  <w:szCs w:val="22"/>
    </w:rPr>
  </w:style>
  <w:style w:type="paragraph" w:styleId="8">
    <w:name w:val="Body Text First Indent 2"/>
    <w:basedOn w:val="4"/>
    <w:qFormat/>
    <w:uiPriority w:val="0"/>
    <w:pPr>
      <w:spacing w:after="0"/>
      <w:ind w:left="562" w:leftChars="0"/>
    </w:pPr>
  </w:style>
  <w:style w:type="table" w:styleId="10">
    <w:name w:val="Table Grid"/>
    <w:basedOn w:val="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2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character" w:customStyle="1" w:styleId="13">
    <w:name w:val="页眉 字符"/>
    <w:basedOn w:val="11"/>
    <w:link w:val="6"/>
    <w:qFormat/>
    <w:uiPriority w:val="99"/>
    <w:rPr>
      <w:kern w:val="2"/>
      <w:sz w:val="18"/>
      <w:szCs w:val="18"/>
    </w:rPr>
  </w:style>
  <w:style w:type="character" w:customStyle="1" w:styleId="14">
    <w:name w:val="页脚 字符"/>
    <w:basedOn w:val="11"/>
    <w:link w:val="5"/>
    <w:qFormat/>
    <w:uiPriority w:val="99"/>
    <w:rPr>
      <w:kern w:val="2"/>
      <w:sz w:val="18"/>
      <w:szCs w:val="18"/>
    </w:rPr>
  </w:style>
  <w:style w:type="paragraph" w:customStyle="1" w:styleId="15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character" w:customStyle="1" w:styleId="16">
    <w:name w:val="Subtle Reference"/>
    <w:basedOn w:val="11"/>
    <w:qFormat/>
    <w:uiPriority w:val="31"/>
    <w:rPr>
      <w:smallCaps/>
      <w:color w:val="595959" w:themeColor="text1" w:themeTint="A5"/>
    </w:rPr>
  </w:style>
  <w:style w:type="character" w:customStyle="1" w:styleId="17">
    <w:name w:val="正文文本 字符"/>
    <w:basedOn w:val="11"/>
    <w:link w:val="3"/>
    <w:qFormat/>
    <w:uiPriority w:val="0"/>
    <w:rPr>
      <w:kern w:val="2"/>
      <w:sz w:val="21"/>
      <w:szCs w:val="24"/>
    </w:rPr>
  </w:style>
  <w:style w:type="character" w:customStyle="1" w:styleId="18">
    <w:name w:val="正文文本首行缩进 2 字符"/>
    <w:basedOn w:val="19"/>
    <w:qFormat/>
    <w:uiPriority w:val="0"/>
    <w:rPr>
      <w:kern w:val="2"/>
      <w:sz w:val="21"/>
      <w:szCs w:val="22"/>
    </w:rPr>
  </w:style>
  <w:style w:type="character" w:customStyle="1" w:styleId="19">
    <w:name w:val="正文文本缩进 字符"/>
    <w:basedOn w:val="11"/>
    <w:link w:val="4"/>
    <w:qFormat/>
    <w:uiPriority w:val="0"/>
    <w:rPr>
      <w:kern w:val="2"/>
      <w:sz w:val="21"/>
      <w:szCs w:val="22"/>
    </w:rPr>
  </w:style>
  <w:style w:type="character" w:customStyle="1" w:styleId="20">
    <w:name w:val="标题 4 字符"/>
    <w:basedOn w:val="11"/>
    <w:link w:val="2"/>
    <w:uiPriority w:val="0"/>
    <w:rPr>
      <w:rFonts w:ascii="等线" w:hAnsi="等线" w:eastAsia="等线" w:cs="Times New Roman"/>
      <w:color w:val="2F5496"/>
      <w:kern w:val="2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9</Pages>
  <Words>3703</Words>
  <Characters>4374</Characters>
  <Lines>36</Lines>
  <Paragraphs>10</Paragraphs>
  <TotalTime>13</TotalTime>
  <ScaleCrop>false</ScaleCrop>
  <LinksUpToDate>false</LinksUpToDate>
  <CharactersWithSpaces>4377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2020-09-04T02:58:00Z</dcterms:created>
  <dc:creator>User</dc:creator>
  <cp:lastModifiedBy>茼薏</cp:lastModifiedBy>
  <dcterms:modified xsi:type="dcterms:W3CDTF">2026-09-03T07:14:18Z</dcterms:modified>
  <cp:revision>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B813A0C7ABCA4FBD9C7712936D1D4C3E_12</vt:lpwstr>
  </property>
  <property fmtid="{D5CDD505-2E9C-101B-9397-08002B2CF9AE}" pid="4" name="KSOTemplateDocerSaveRecord">
    <vt:lpwstr>eyJoZGlkIjoiM2IyYWVmN2QwOWU1YTk1OWYxZjVkMGIxYjAyNDMxMWUiLCJ1c2VySWQiOiI1Mzc1Njk2MjAifQ==</vt:lpwstr>
  </property>
</Properties>
</file>