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9D371">
      <w:pPr>
        <w:spacing w:line="600" w:lineRule="exact"/>
        <w:ind w:firstLine="856" w:firstLineChars="200"/>
        <w:rPr>
          <w:rFonts w:hint="default" w:ascii="Times New Roman" w:hAnsi="Times New Roman" w:eastAsia="方正小标宋简体" w:cs="Times New Roman"/>
          <w:spacing w:val="-6"/>
          <w:sz w:val="44"/>
          <w:szCs w:val="44"/>
        </w:rPr>
      </w:pPr>
    </w:p>
    <w:p w14:paraId="28411BE7">
      <w:pPr>
        <w:spacing w:line="600" w:lineRule="exact"/>
        <w:ind w:firstLine="856" w:firstLineChars="200"/>
        <w:rPr>
          <w:rFonts w:hint="default" w:ascii="Times New Roman" w:hAnsi="Times New Roman" w:eastAsia="方正小标宋简体" w:cs="Times New Roman"/>
          <w:spacing w:val="-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</w:rPr>
        <w:t>关于2025年财政决算（草案）和2026年</w:t>
      </w:r>
    </w:p>
    <w:p w14:paraId="03A3BDAB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pacing w:val="-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-6"/>
          <w:sz w:val="44"/>
          <w:szCs w:val="44"/>
        </w:rPr>
        <w:t>上半年财政预算执行情况的报告</w:t>
      </w:r>
    </w:p>
    <w:p w14:paraId="6E31A8A2">
      <w:pPr>
        <w:spacing w:line="240" w:lineRule="exact"/>
        <w:jc w:val="center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1F1AA5DC">
      <w:pPr>
        <w:spacing w:line="600" w:lineRule="exact"/>
        <w:rPr>
          <w:rFonts w:hint="default" w:ascii="Times New Roman" w:hAnsi="Times New Roman" w:eastAsia="楷体" w:cs="Times New Roman"/>
          <w:b/>
          <w:sz w:val="32"/>
          <w:szCs w:val="32"/>
        </w:rPr>
      </w:pPr>
      <w:r>
        <w:rPr>
          <w:rFonts w:hint="default" w:ascii="Times New Roman" w:hAnsi="Times New Roman" w:eastAsia="楷体" w:cs="Times New Roman"/>
          <w:b/>
          <w:sz w:val="32"/>
          <w:szCs w:val="32"/>
        </w:rPr>
        <w:t>-----2026年8月</w:t>
      </w:r>
      <w:r>
        <w:rPr>
          <w:rFonts w:hint="eastAsia" w:eastAsia="楷体" w:cs="Times New Roman"/>
          <w:b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楷体" w:cs="Times New Roman"/>
          <w:b/>
          <w:sz w:val="32"/>
          <w:szCs w:val="32"/>
        </w:rPr>
        <w:t>日在区十一届人大常委会</w:t>
      </w:r>
      <w:r>
        <w:rPr>
          <w:rFonts w:hint="default" w:ascii="Times New Roman" w:hAnsi="Times New Roman" w:eastAsia="楷体" w:cs="Times New Roman"/>
          <w:b/>
          <w:color w:val="000000"/>
          <w:sz w:val="32"/>
          <w:szCs w:val="32"/>
        </w:rPr>
        <w:t>第</w:t>
      </w:r>
      <w:r>
        <w:rPr>
          <w:rFonts w:hint="eastAsia" w:eastAsia="楷体" w:cs="Times New Roman"/>
          <w:b/>
          <w:color w:val="000000"/>
          <w:sz w:val="32"/>
          <w:szCs w:val="32"/>
          <w:lang w:val="en-US" w:eastAsia="zh-CN"/>
        </w:rPr>
        <w:t>四十一</w:t>
      </w:r>
      <w:r>
        <w:rPr>
          <w:rFonts w:hint="default" w:ascii="Times New Roman" w:hAnsi="Times New Roman" w:eastAsia="楷体" w:cs="Times New Roman"/>
          <w:b/>
          <w:color w:val="000000"/>
          <w:sz w:val="32"/>
          <w:szCs w:val="32"/>
        </w:rPr>
        <w:t>次</w:t>
      </w:r>
      <w:r>
        <w:rPr>
          <w:rFonts w:hint="default" w:ascii="Times New Roman" w:hAnsi="Times New Roman" w:eastAsia="楷体" w:cs="Times New Roman"/>
          <w:b/>
          <w:sz w:val="32"/>
          <w:szCs w:val="32"/>
        </w:rPr>
        <w:t>会议上</w:t>
      </w:r>
    </w:p>
    <w:p w14:paraId="5FB74E6F">
      <w:pPr>
        <w:spacing w:line="600" w:lineRule="exact"/>
        <w:jc w:val="center"/>
        <w:rPr>
          <w:rFonts w:hint="default" w:ascii="Times New Roman" w:hAnsi="Times New Roman" w:eastAsia="楷体" w:cs="Times New Roman"/>
          <w:b/>
          <w:sz w:val="32"/>
          <w:szCs w:val="32"/>
          <w:lang w:eastAsia="zh-CN"/>
        </w:rPr>
      </w:pPr>
      <w:r>
        <w:rPr>
          <w:rFonts w:hint="default" w:ascii="Times New Roman" w:hAnsi="Times New Roman" w:eastAsia="楷体" w:cs="Times New Roman"/>
          <w:b/>
          <w:sz w:val="32"/>
          <w:szCs w:val="32"/>
        </w:rPr>
        <w:t xml:space="preserve">区财政局局长  </w:t>
      </w:r>
      <w:r>
        <w:rPr>
          <w:rFonts w:hint="default" w:ascii="Times New Roman" w:hAnsi="Times New Roman" w:eastAsia="楷体" w:cs="Times New Roman"/>
          <w:b/>
          <w:sz w:val="32"/>
          <w:szCs w:val="32"/>
          <w:lang w:eastAsia="zh-CN"/>
        </w:rPr>
        <w:t>杨卫</w:t>
      </w:r>
    </w:p>
    <w:p w14:paraId="03226EFC">
      <w:pPr>
        <w:spacing w:line="54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4BDD5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主任、各位副主任、各位委员：</w:t>
      </w:r>
    </w:p>
    <w:p w14:paraId="0676B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受区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政府委托，现将全区2025年财政决算（草案）和2026年上半年全区财政预算执行情况报告如下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请予审议。</w:t>
      </w:r>
    </w:p>
    <w:p w14:paraId="1C3DE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一、2025年财政收支决算情况</w:t>
      </w:r>
    </w:p>
    <w:p w14:paraId="6E525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（一）全区公共财政决算情况</w:t>
      </w:r>
    </w:p>
    <w:p w14:paraId="21DE5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1.一般公共预算收支决算情况</w:t>
      </w:r>
    </w:p>
    <w:p w14:paraId="33F2A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收入情况：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2025年全区一般公共预算收入完成77176万元，同比增长6.81%，完成调整预算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101.55%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。从收入结构看：税收收入完成55209万元；非税收入完成21967万元。</w:t>
      </w:r>
    </w:p>
    <w:p w14:paraId="738F5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财力情况：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2025年全区一般公共预算总收入249081万元，其中：地方一般公共预算收入77176万元；上级转移支付收入107809万元；调入资金49056万元；地方政府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一般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债务转贷收入5309万元；上年结转9731万元。</w:t>
      </w:r>
    </w:p>
    <w:p w14:paraId="47D6E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支出情况：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2025年全区一般公共预算总支出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233840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万元，其中：一般公共预算支出218931万元；上解支出8409万元；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地方政府一般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债务还本支出5324万元；安排预算稳定调节基金1176万元。</w:t>
      </w:r>
    </w:p>
    <w:p w14:paraId="31A80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一般公共预算支出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218931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万元，同比增长2.28%。具体支出项目是：一般公共服务支出19788万元；国防支出296万元；公共安全支出787万元；教育支出37083万元；科学技术支出5242万元；文化旅游体育与传媒支出827万元；社会保障与就业支出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715万元；卫生健康支出20651万元；节能环保支出1732万元；城乡社区事务支出13285万元；农林水支出42338万元；交通运输支出2696万元；资源勘探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工业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信息等支出6027万元；商业服务业等支出79万元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；金融支出130万元；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自然资源海洋气象等支出702万元；住房保障支出14253万元；灾害防治及应急管理支出1562万元；债务付息支出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1734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万元；债务发行费用支出4万元。</w:t>
      </w:r>
    </w:p>
    <w:p w14:paraId="21575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color w:val="000000"/>
          <w:sz w:val="32"/>
          <w:szCs w:val="32"/>
        </w:rPr>
        <w:t>平衡情况：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年全区一般公共预算总收入249081万元，全区一般公共预算总支出233840万元，年终结转结余15241万元（详见附表1）。</w:t>
      </w:r>
    </w:p>
    <w:p w14:paraId="3952E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2.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  <w:t>政府性基金收支决算情况</w:t>
      </w:r>
    </w:p>
    <w:p w14:paraId="5AB12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收入情况：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2025年政府性基金预算收入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完成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1872万元，同比增长13.80%，完成调整预算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120.62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%，其中：城市基础设施配套费收入983万元；污水处理费收入577万元；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专项债务对应项目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专项收入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312万元。</w:t>
      </w:r>
    </w:p>
    <w:p w14:paraId="60ADF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财力情况：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2025年全区政府性基金预算总收入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119248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万元，其中：地方政府性基金预算收入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1872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万元；转移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支付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15271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万元；地方政府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专项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债务转贷收入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90146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万元；调入资金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9593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万元；上年结转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2366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万元。</w:t>
      </w:r>
    </w:p>
    <w:p w14:paraId="41946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支出情况：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年政府性基金预算支出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112130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万元，具体包括：城乡社区支出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7297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万元；农林水支出7万元；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资源勘探工业信息等支出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257万元；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其他支出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59338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债务付息支出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6804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万元；债务发行费用支出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政府性基金预算调出资金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5478万元；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债务还本支出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32874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万元。</w:t>
      </w:r>
    </w:p>
    <w:p w14:paraId="351B9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平衡情况：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政府性基金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预算总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收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119248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万元，政府性基金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预算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112130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万元，年终结转结余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7118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万元（待下年支付）。</w:t>
      </w:r>
    </w:p>
    <w:p w14:paraId="2FD5B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3.社会保险基金收支决算情况</w:t>
      </w:r>
    </w:p>
    <w:p w14:paraId="57E50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社会保险基金属于市级统筹，不在本级收支决算。</w:t>
      </w:r>
    </w:p>
    <w:p w14:paraId="4BC0E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4.国有资本经营预算收支决算情况</w:t>
      </w:r>
    </w:p>
    <w:p w14:paraId="6E130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年国有资本经营预算本级没有实现收入，上级转移支付收入78万元，主要是国有企业退休人员社会化管理补助支出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万元，调出一般公共预算列支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万元。</w:t>
      </w:r>
    </w:p>
    <w:p w14:paraId="5AA21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（二）202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年区本级公共财政决算情况</w:t>
      </w:r>
    </w:p>
    <w:p w14:paraId="10206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收入情况：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年区本级一般公共预算收入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完成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67301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万元，同比增长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%，其中：税收收入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45334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万元，非税收入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21967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万元。</w:t>
      </w:r>
    </w:p>
    <w:p w14:paraId="79769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财力情况：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年区本级一般公共预算总收入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235540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万元，其中：地方一般预算收入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67301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万元；上级转移支付收入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94268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万元；地方政府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一般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债务转贷收入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5309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万元；调入资金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49056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镇上解收入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9875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上年结转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9731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万元。</w:t>
      </w:r>
    </w:p>
    <w:p w14:paraId="22DC9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支出情况：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年区本级一般公共预算总支出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220299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万元，同比增长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00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%。其中：区本级一般公共预算支出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205390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万元；上解支出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8409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万元；债务还本支出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5324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万元；安排预算稳定调节基金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1176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万元。</w:t>
      </w:r>
    </w:p>
    <w:p w14:paraId="0ABD7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年区本级一般公共预算支出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205390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万元，同比增长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.3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%。具体支出项目是：一般公共服务支出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13998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万元；国防支出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296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万元；公共安全支出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787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万元；教育支出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36704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万元；科学技术支出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5186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万元；文化旅游体育与传媒支出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827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万元；社会保障与就业支出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48266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万元；卫生健康支出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20333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万元；节能环保支出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万元；城乡社区支出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12348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万元；农林水支出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40769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万元；交通运输支出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2696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万元；资源勘探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工业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信息等支出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6027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商业服务业等支出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79万元；金融支出130万元；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自然资源海洋气象等支出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万元；住房保障支出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13480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万元；灾害防治及应急管理支出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1285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万元；债务付息支出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1734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万元；债务发行费用支出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万元。</w:t>
      </w:r>
    </w:p>
    <w:p w14:paraId="45945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平衡情况：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年区本级一般公共预算总收入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235540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万元，区本级一般公共预算总支出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220299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万元，年终结转结余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15241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万元（待下年支付）。</w:t>
      </w:r>
    </w:p>
    <w:p w14:paraId="16A50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二、202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年财政重要事项报告</w:t>
      </w:r>
    </w:p>
    <w:p w14:paraId="35185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上级财政补助情况</w:t>
      </w:r>
    </w:p>
    <w:p w14:paraId="5EEB8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年，一般公共预算上级转移支付补助资金10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7809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万元，其中：财力性补助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39460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万元；共同事权补助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40499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万元；专项转移支付补助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27850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万元。政府性基金上级转移支付补助资金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15271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万元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，同比增长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42.87%，主要是超长期特别国债转移支付收入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</w:t>
      </w:r>
    </w:p>
    <w:p w14:paraId="68AE2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b/>
          <w:bCs w:val="0"/>
          <w:color w:val="auto"/>
          <w:sz w:val="32"/>
          <w:szCs w:val="32"/>
          <w:lang w:eastAsia="zh-CN"/>
        </w:rPr>
        <w:t>）深化财政改革情况</w:t>
      </w:r>
    </w:p>
    <w:p w14:paraId="397DE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纵深推进零基预算改革，改革范围覆盖四本预算，所有支出项目从零开展评估审核，2026年预算编制累计削减、取消项目预算27510万元，进一步优化财政资金配置结构。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预算绩效管理闭环基本形成，抓实绩效目标设定、执行动态监控、绩效评价实施、结果刚性应用各环节，2025年对6个重点项目开展财政重点绩效评价，涉及资金11695万元，评价结果与预算安排挂钩；同步开展垃圾处理费成本绩效管理试点，实现项目成本削减率13.82%。</w:t>
      </w: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国库库款管理安全高效，严格落实国库集中支付制度，资金调度优先保障“三保”、债务还本付息等刚性支出，全年库款保障倍数稳定保</w:t>
      </w:r>
      <w:r>
        <w:rPr>
          <w:rFonts w:hint="eastAsia" w:eastAsia="仿宋_GB2312" w:cs="Times New Roman"/>
          <w:bCs/>
          <w:color w:val="auto"/>
          <w:sz w:val="32"/>
          <w:szCs w:val="32"/>
          <w:lang w:val="en-US" w:eastAsia="zh-CN"/>
        </w:rPr>
        <w:t>持在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0.</w:t>
      </w:r>
      <w:r>
        <w:rPr>
          <w:rFonts w:hint="eastAsia" w:eastAsia="仿宋_GB2312" w:cs="Times New Roman"/>
          <w:bCs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以上合理区间，确保财政运行平稳有序。</w:t>
      </w:r>
    </w:p>
    <w:p w14:paraId="133C2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 w:val="0"/>
          <w:sz w:val="32"/>
          <w:szCs w:val="32"/>
          <w:lang w:val="en-US" w:eastAsia="zh-CN"/>
        </w:rPr>
        <w:t>（三）</w:t>
      </w:r>
      <w:r>
        <w:rPr>
          <w:rFonts w:hint="eastAsia" w:eastAsia="楷体_GB2312" w:cs="Times New Roman"/>
          <w:b/>
          <w:bCs w:val="0"/>
          <w:sz w:val="32"/>
          <w:szCs w:val="32"/>
          <w:lang w:val="en-US" w:eastAsia="zh-CN"/>
        </w:rPr>
        <w:t>“三公”经费</w:t>
      </w:r>
      <w:r>
        <w:rPr>
          <w:rFonts w:hint="default" w:ascii="Times New Roman" w:hAnsi="Times New Roman" w:eastAsia="楷体_GB2312" w:cs="Times New Roman"/>
          <w:b/>
          <w:bCs w:val="0"/>
          <w:sz w:val="32"/>
          <w:szCs w:val="32"/>
          <w:lang w:val="en-US" w:eastAsia="zh-CN"/>
        </w:rPr>
        <w:t>防控情况</w:t>
      </w:r>
    </w:p>
    <w:p w14:paraId="1BACE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加强财政支出管控，从严压减一般性开支</w:t>
      </w:r>
      <w:r>
        <w:rPr>
          <w:rFonts w:hint="eastAsia" w:eastAsia="仿宋_GB2312" w:cs="Times New Roman"/>
          <w:bCs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全力守牢基层“三保”底线。厉行勤俭节约</w:t>
      </w:r>
      <w:r>
        <w:rPr>
          <w:rFonts w:hint="eastAsia" w:eastAsia="仿宋_GB2312" w:cs="Times New Roman"/>
          <w:bCs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严控“三公”经费，牢固树立党政机关过紧日子思想，从严审批公务接待、公车运维、公车购置等支出，全年“三公”经费支出222万元，较上年减少2万元</w:t>
      </w:r>
      <w:r>
        <w:rPr>
          <w:rFonts w:hint="eastAsia" w:eastAsia="仿宋_GB2312" w:cs="Times New Roman"/>
          <w:bCs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同比下降1%。</w:t>
      </w:r>
    </w:p>
    <w:p w14:paraId="6FE4D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（四）债券发行及还本付息情况</w:t>
      </w:r>
    </w:p>
    <w:p w14:paraId="3C54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2025年省财政厅下达我区一般债券额度627万元，专项债券额度74600万元，全年已全部发行完毕。2025年到期政府债券本金为22477万元，其中：使用本级财政资金偿还2249万元，申请再融资债券资金偿还20228万元，目前已经全部偿还到位。2025年应付债券利息8538.24万元，已通过年终市区财政结算一次性扣除偿还。截至2025年底，全区政府性债务余额347021.5万元，其中一般债券54651.5万元，专项债券292370万元。</w:t>
      </w:r>
    </w:p>
    <w:p w14:paraId="5A17F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（五）优化营商环境情况</w:t>
      </w:r>
    </w:p>
    <w:p w14:paraId="7DA1D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持续优化涉企服务，多措并举助力市场主体健康发展。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优化政府采购营商环境，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严格落实政府采购支持中小企业发展相关政策，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多措并举减轻企业资金压力，降低供应商交易成本。2025年完成政府采购项目51个，预算金额7605.53万元，实际成交金额5703.22万元，累计节约财政资金1902.31万元，政府采购效率与资金使用效益同步提升。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强化金融助企纾困，发挥政银担联动作用，2025年累计完成担保业务2115笔83.13亿元，其中政银担业务1193笔43.48亿元。目前在保企业146户，在保余额180笔7.45亿元，其中政银担在保162笔6.39亿元，有效缓解小微企业融资难、融资贵问题，为小微企业发展注入金融活水。</w:t>
      </w:r>
    </w:p>
    <w:p w14:paraId="6AC1E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 w:val="0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/>
          <w:bCs w:val="0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楷体_GB2312" w:cs="Times New Roman"/>
          <w:b/>
          <w:bCs w:val="0"/>
          <w:sz w:val="32"/>
          <w:szCs w:val="32"/>
        </w:rPr>
        <w:t>）其他重要事项</w:t>
      </w:r>
    </w:p>
    <w:p w14:paraId="2888D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2025年初预算安排预备费2000万元，当年未发生支出。2025年一般公共预算收入实现超收1176万元，根据预算法规定，补充安排预算稳定调节基金1176万元。</w:t>
      </w:r>
    </w:p>
    <w:p w14:paraId="777C2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三、202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年上半年工作开展情况</w:t>
      </w:r>
    </w:p>
    <w:p w14:paraId="32390E2D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加强财税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征管，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做大收入蛋糕</w:t>
      </w:r>
    </w:p>
    <w:p w14:paraId="2C454977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今年以来，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区财</w:t>
      </w:r>
      <w:r>
        <w:rPr>
          <w:rFonts w:hint="eastAsia" w:cs="Times New Roman"/>
          <w:sz w:val="32"/>
          <w:szCs w:val="32"/>
          <w:lang w:val="en-US" w:eastAsia="zh-CN"/>
        </w:rPr>
        <w:t>税部门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紧盯年度收入目标，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加强收入调度，强化数据分析，加大税收清欠力度，促进潜在税源转化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狠抓非税</w:t>
      </w:r>
      <w:r>
        <w:rPr>
          <w:rFonts w:hint="eastAsia" w:cs="Times New Roman"/>
          <w:sz w:val="32"/>
          <w:szCs w:val="32"/>
          <w:lang w:val="en-US" w:eastAsia="zh-CN"/>
        </w:rPr>
        <w:t>收入征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缴，全面梳理资源资产，加快市场化配置和</w:t>
      </w:r>
      <w:r>
        <w:rPr>
          <w:rFonts w:hint="eastAsia" w:cs="Times New Roman"/>
          <w:sz w:val="32"/>
          <w:szCs w:val="32"/>
          <w:lang w:val="en-US" w:eastAsia="zh-CN"/>
        </w:rPr>
        <w:t>盘活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处置，</w:t>
      </w:r>
      <w:r>
        <w:rPr>
          <w:rFonts w:hint="eastAsia" w:cs="Times New Roman"/>
          <w:sz w:val="32"/>
          <w:szCs w:val="32"/>
          <w:lang w:val="en-US" w:eastAsia="zh-CN"/>
        </w:rPr>
        <w:t>规范非税收入执收程序，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确保依法征收，应收尽收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cs="Times New Roman"/>
          <w:sz w:val="32"/>
          <w:szCs w:val="32"/>
        </w:rPr>
        <w:t>上半年，一般预算收入完成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46498</w:t>
      </w:r>
      <w:r>
        <w:rPr>
          <w:rFonts w:hint="default" w:ascii="Times New Roman" w:hAnsi="Times New Roman" w:cs="Times New Roman"/>
          <w:sz w:val="32"/>
          <w:szCs w:val="32"/>
        </w:rPr>
        <w:t>万元，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同比</w:t>
      </w:r>
      <w:r>
        <w:rPr>
          <w:rFonts w:hint="default" w:ascii="Times New Roman" w:hAnsi="Times New Roman" w:cs="Times New Roman"/>
          <w:sz w:val="32"/>
          <w:szCs w:val="32"/>
        </w:rPr>
        <w:t>增长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5.24</w:t>
      </w:r>
      <w:r>
        <w:rPr>
          <w:rFonts w:hint="default" w:ascii="Times New Roman" w:hAnsi="Times New Roman" w:cs="Times New Roman"/>
          <w:sz w:val="32"/>
          <w:szCs w:val="32"/>
        </w:rPr>
        <w:t>%，完成年初预算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58.12</w:t>
      </w:r>
      <w:r>
        <w:rPr>
          <w:rFonts w:hint="default" w:ascii="Times New Roman" w:hAnsi="Times New Roman" w:cs="Times New Roman"/>
          <w:sz w:val="32"/>
          <w:szCs w:val="32"/>
        </w:rPr>
        <w:t>%，高于序时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8.12</w:t>
      </w:r>
      <w:r>
        <w:rPr>
          <w:rFonts w:hint="default" w:ascii="Times New Roman" w:hAnsi="Times New Roman" w:cs="Times New Roman"/>
          <w:sz w:val="32"/>
          <w:szCs w:val="32"/>
        </w:rPr>
        <w:t>个百分点，实现财政收入“时间过半，任务过半”序时任务。</w:t>
      </w:r>
    </w:p>
    <w:p w14:paraId="1D9F5658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（二）统筹资金分配，兜牢民生底线</w:t>
      </w:r>
    </w:p>
    <w:p w14:paraId="47B228AB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sz w:val="32"/>
          <w:szCs w:val="32"/>
          <w:lang w:eastAsia="zh-CN"/>
        </w:rPr>
        <w:t>持续优化财政支出结构，坚持资金保障向刚需领域、民生领域倾斜，统筹做好各类重点支出保障工作。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>一是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全力落实“三保”支出保障，上半年全区“三保”累计支出62267万元，预算执行率56.39%，超序时进度6.39个百分点；其中保工资支出40631万元、保基本民生支出21297万元、保运转支出339万元，群众基本需求、基层运转得</w:t>
      </w:r>
      <w:r>
        <w:rPr>
          <w:rFonts w:hint="eastAsia" w:cs="Times New Roman"/>
          <w:sz w:val="32"/>
          <w:szCs w:val="32"/>
          <w:lang w:val="en-US" w:eastAsia="zh-CN"/>
        </w:rPr>
        <w:t>以有效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保障。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>二是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严格落实重点支出增长要求，教育、科技、农林水支出分别完成23043万元、2129万元、20829万元，均实现上半年支出只增不减目标。</w:t>
      </w:r>
      <w:r>
        <w:rPr>
          <w:rFonts w:hint="default" w:ascii="Times New Roman" w:hAnsi="Times New Roman" w:cs="Times New Roman"/>
          <w:b/>
          <w:bCs/>
          <w:sz w:val="32"/>
          <w:szCs w:val="32"/>
          <w:lang w:eastAsia="zh-CN"/>
        </w:rPr>
        <w:t>三是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足额保障各类专项重点资金，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2026年惠民系统覆盖全区所有乡镇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，已发放耕地地力保护补贴、低保、特困人员供养、农村优抚、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计生奖扶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等14大类42项惠民资金，惠及补贴对象102094户（人），累计发放资金16083.89万元；统筹安排资金保障机关事业单位年度考核奖5577万元、偿还企业历史欠款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5138万元、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PPP项目运营经费1830万元、污水处理费1350万元，村级运转支出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1511万元等，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全区各项事业</w:t>
      </w:r>
      <w:r>
        <w:rPr>
          <w:rFonts w:hint="eastAsia" w:cs="Times New Roman"/>
          <w:sz w:val="32"/>
          <w:szCs w:val="32"/>
          <w:lang w:val="en-US" w:eastAsia="zh-CN"/>
        </w:rPr>
        <w:t>稳步推进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。</w:t>
      </w:r>
    </w:p>
    <w:p w14:paraId="126E8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楷体_GB2312" w:cs="Times New Roman"/>
          <w:b/>
          <w:sz w:val="32"/>
          <w:szCs w:val="32"/>
        </w:rPr>
        <w:t>）</w:t>
      </w: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主动对接争取，拓宽资金渠道</w:t>
      </w:r>
    </w:p>
    <w:p w14:paraId="46A69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今年以来，</w:t>
      </w:r>
      <w:r>
        <w:rPr>
          <w:rFonts w:hint="eastAsia" w:eastAsia="仿宋_GB2312" w:cs="Times New Roman"/>
          <w:bCs/>
          <w:sz w:val="32"/>
          <w:szCs w:val="32"/>
          <w:lang w:eastAsia="zh-CN"/>
        </w:rPr>
        <w:t>我区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抢抓政策机遇，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主动对接上级部门了解财政政策和资金投向，持续加大资金申报争取力度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年上半年，我区共争取上级转移支付资金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5.65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亿元；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申报通过专项债项目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10个（煤化工园区项目2个）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争取专项债券额度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2.88亿元，争取置换债券0.44亿元，用于化解存量隐性债务，有效拓宽了资金来源，缓解区级财力及债务压力。</w:t>
      </w:r>
    </w:p>
    <w:p w14:paraId="50F85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（四）统筹盘活资产，提升资金效益</w:t>
      </w:r>
    </w:p>
    <w:p w14:paraId="074BA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统筹推进国有资产及财政存量资金清理盘活，不断提高资源资产利用效率。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扎实推进“大资产”统筹管理，</w:t>
      </w:r>
      <w:r>
        <w:rPr>
          <w:rFonts w:hint="eastAsia" w:eastAsia="仿宋_GB2312" w:cs="Times New Roman"/>
          <w:sz w:val="32"/>
          <w:szCs w:val="32"/>
          <w:lang w:eastAsia="zh-CN"/>
        </w:rPr>
        <w:t>组织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开展全区国有资源资产起底排查。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上半年累计盘活存量资产实现收益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12900万元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，其中公开出售国有资产收入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11000万元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，出租收入1900万元。同时，处理预算执行监控预警218条，追回财政资金3571.4万元，有效提升了资金使用效益。</w:t>
      </w:r>
    </w:p>
    <w:p w14:paraId="54738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lang w:val="en-US" w:eastAsia="zh-CN"/>
        </w:rPr>
        <w:t>（五）深化国企改革，强化金融赋能</w:t>
      </w:r>
    </w:p>
    <w:p w14:paraId="7A70F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统筹推进区属国企改革深化与区域金融服务赋能，夯实实体经济发展支撑。一是持续深化区属国企改革，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截至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6月底，3家区属国企资产总额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1054831.60万元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较上年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增长20.90%；实现营业收入3527.34万元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，开展高管市场化公开招聘，引进高级管理人员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3名，持续完善现代企业治理结构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，淮畔集团、潘城建公司评定为“AA”主体信用等级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。二是全面提升金融服务质效，2026年上半年，全区存款余额2286951.41万元，同比增长2.10%，贷款余额2616368.92万元，同比增长13.85%；小微企业贷款余额982027.16万元，同比增长8.60%；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上半年新增担保业务116笔、金额4.67亿元，有效缓解企业融资难题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成功组织跨境金融政银企对接活动，联合北交所调研指导重点企业上市工作。</w:t>
      </w:r>
    </w:p>
    <w:p w14:paraId="7A872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上半年，在区委的正确领导下，我们完成了财政收支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序时任务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，成绩来之不易，但我们还要清醒看到，财政形势依然十分严峻，存在一些问题和困难：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一是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财政收支矛盾突出，区本级财政收入增幅有限，而“三保”支出随着保障范围和标准的扩大不断提高，债务还本付息、偿还历史欠款等刚性支出居高不下，收支缺口持续扩大，财政紧平衡态势进一步加剧。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二是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国资监管与国企发展存在短板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国资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监管力量薄弱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区属国有企业存在效益不佳、资产收益率低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问题，公司高管任期制和契约化管理尚未完全落实。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三是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财政监督的覆盖面和穿透力不足，对基层单位和二级机构的监督有待加强。面对以上困难和问题，我们会高度重视，认真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分析研究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，强化工作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落实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，逐步加以解决。</w:t>
      </w:r>
    </w:p>
    <w:p w14:paraId="13847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四、202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年上半年财政预算执行情况</w:t>
      </w:r>
    </w:p>
    <w:p w14:paraId="67E4A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（一）全区财政预算执行情况</w:t>
      </w:r>
    </w:p>
    <w:p w14:paraId="38D4C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1.全区公共财政预算执行情况</w:t>
      </w:r>
    </w:p>
    <w:p w14:paraId="5CC8DAB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收入情况：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上半年，全区一般公共预算收入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46498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万元，完成预算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%，同比增长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%。其中：税收收入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29608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万元，非税收入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16890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万元。</w:t>
      </w:r>
    </w:p>
    <w:p w14:paraId="199B7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财力情况：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上半年，全区一般公共预算总收入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122689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下降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5.76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，其中：地方一般预算收入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46498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万元；转移支付收入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55426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一般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债务转贷收入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9916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万元；上年结转收入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10849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万元。</w:t>
      </w:r>
    </w:p>
    <w:p w14:paraId="51E73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支出情况：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上半年，全区一般公共预算总支出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118957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万元，完成预算59.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%，同比增长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%。其中：一般公共服务支出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9364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万元；国防支出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万元；公共安全支出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377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万元；教育支出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23043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万元；科学技术支出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2129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万元；文化旅游体育与传媒支出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984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万元；社会保障与就业支出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25270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万元；卫生健康支出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10086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万元；节能环保支出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万元；城乡社区支出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7465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万元；农林水支出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20829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万元；交通运输支出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1155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万元；自然资源海洋气象等支出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万元；住房保障支出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5114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万元；灾害防治及应急管理支出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万元；债务付息支出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988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万元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债务还本支出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11018万元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（详见附表2）。</w:t>
      </w:r>
    </w:p>
    <w:p w14:paraId="49821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2.政府性基金预算执行情况</w:t>
      </w:r>
    </w:p>
    <w:p w14:paraId="525D5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上半年，政府性基金预算总收入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43351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万元，同比下降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20.25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%，主要是：地方政府性基金收入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万元；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专项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债务转贷收入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900万元（置换专项债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万元、新增专项债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288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00万元）；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调入资金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7613万元;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转移性收入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1063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万元；上年结余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5660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万元。</w:t>
      </w:r>
    </w:p>
    <w:p w14:paraId="0F10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16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上半年，政府性基金预算支出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35730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万元，同比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eastAsia="zh-CN"/>
        </w:rPr>
        <w:t>下降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4.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%，主要是：农林水支出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85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万元；城乡社区支出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4545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万元；债务还本支出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万元；债务付息支出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4951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万元；其他支出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26049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</w:rPr>
        <w:t>万元。</w:t>
      </w:r>
    </w:p>
    <w:p w14:paraId="2601A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  <w:t>3.社会保险基金预算执行情况</w:t>
      </w:r>
    </w:p>
    <w:p w14:paraId="74902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社会保险基金属于市级统筹，不在本级收支决算。</w:t>
      </w:r>
    </w:p>
    <w:p w14:paraId="334CC2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  <w:t>4.国有资本经营预算执行情况</w:t>
      </w:r>
    </w:p>
    <w:p w14:paraId="79652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上半年，国有资本经营预算本级没有实现收入，上级转移支付收入78万元，主要是国有企业退休人员社会化管理补助资金，目前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尚未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支出。</w:t>
      </w:r>
    </w:p>
    <w:p w14:paraId="7903F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 w:val="32"/>
          <w:szCs w:val="32"/>
        </w:rPr>
        <w:t>（二）区本级公共财政预算执行情况</w:t>
      </w:r>
    </w:p>
    <w:p w14:paraId="193FD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  <w:t>收入情况：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上半年，区本级一般公共预算收入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39593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万元，完成预算的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60.91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%，同比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增长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9.09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%。其中：税收收入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22703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万元，非税收入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16890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万元。</w:t>
      </w:r>
    </w:p>
    <w:p w14:paraId="64228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  <w:t>财力情况：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上半年，区本级一般公共预算总收入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114554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万元，完成预算的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60.22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%，同比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下降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5.61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%，其中：一般公共预算收入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39593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万元；转移性收入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54196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万元；新增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一般债务转贷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9916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万元；上年结转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10849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万元。</w:t>
      </w:r>
    </w:p>
    <w:p w14:paraId="4A0F7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color w:val="auto"/>
          <w:sz w:val="32"/>
          <w:szCs w:val="32"/>
        </w:rPr>
        <w:t>支出情况：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上半年，区本级一般公共预算总支出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109929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万元，完成预算的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57.78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%，同比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增长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10.29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3F847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五、下半年工作安排</w:t>
      </w:r>
    </w:p>
    <w:p w14:paraId="3E4025D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下半年，在区委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坚强领导下，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我区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将锚定年度预算收支目标，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发挥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财政职能，主动担当、精准发力，全力破解当前财政运行难点堵点，扎实推进各项重点工作，确保完成全年财政各项目标任务。</w:t>
      </w:r>
    </w:p>
    <w:p w14:paraId="1D40139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全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力税源攻坚，夯实财政收入稳固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大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盘</w:t>
      </w:r>
    </w:p>
    <w:p w14:paraId="72DB348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聚焦全年收入增长目标，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加强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财税部门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协调联动，强化税收调度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分析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大力培植税源，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加大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欠税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清缴力度，推动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重大项目建设，促进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税源快速转化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推进基层税费协同共治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利用奖惩机制调动乡镇街道协税护税积极性；抓实非税收入征管，全面盘点梳理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资源资产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，加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快老旧资产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盘活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利用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，堵塞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收入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征管漏洞，做到依法依规征收、应收尽收，全力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保障财政收入稳定增长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</w:t>
      </w:r>
    </w:p>
    <w:p w14:paraId="433CAF2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（二）优化支出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结构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，守牢基层民生保障底线</w:t>
      </w:r>
    </w:p>
    <w:p w14:paraId="49BC319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坚决树牢过紧日子思想，厉行勤俭节约、精打细算，从严压减一般性支出，严格管控“三公”经费支出规模，腾挪整合有限财力保障财政平稳运转。坚持“三保”支出优先顺序，强化库款常态化监测与动态调度，确保“三保”每月支出到位，不被系统监测预警，兜牢基层民生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出底线。</w:t>
      </w:r>
    </w:p>
    <w:p w14:paraId="0894959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（三）抢抓政策机遇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，加大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上级资金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</w:rPr>
        <w:t>争取力度</w:t>
      </w:r>
    </w:p>
    <w:p w14:paraId="3966C03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精准把握省级支持皖北地区振兴政策红利，积极梳理政策条款，对标申报条件，主动向上对接，全力争取均衡性转移支付、皖北振兴专项补助等政策资金；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协助有关部门，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高质量储备政府投资性项目，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争取优质项目落地潘集。做好专项债项目前期谋划工作，根据专项债优先投向领域，认真筹备项目申报资料，积极申报专项债项目，争取更多专项债资金额度，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以上级资金缓解本级收支缺口压力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77A3D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围绕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风险防控，筑牢金融债务安全防线</w:t>
      </w:r>
    </w:p>
    <w:p w14:paraId="7622A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压紧压实债务化解主体责任，严格落实偿债方案，督促各责任单位筹措偿债资金，优先推进省委巡视整改台账欠款清偿，分阶段有序化解历史存量债务，保质保量完成年度隐性债务化解任务。健全多部门协同处置机制，全力攻坚淮河农商银行不良贷款清收，强化司法追偿力度，严厉打击逃废债行为，常态化防范化解各类财政金融风险，守护区域金融安全稳定防线。</w:t>
      </w:r>
    </w:p>
    <w:p w14:paraId="49E7C2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聚焦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lang w:eastAsia="zh-CN"/>
        </w:rPr>
        <w:t>改革赋能，提升财政治理综合效能</w:t>
      </w:r>
    </w:p>
    <w:p w14:paraId="406A8FA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持续深化各项财政管理改革，抓好全省财政科学管理试点工作，以改革举措优化资源配置，补齐管理短板。一是深化零基预算改革，持续推进项目整合清理，打破支出固化格局，优化支出结构，集中财力保障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全区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重大决策部署。二是推动预算绩效管理提质增效，做实绩效目标管理，过程运行监控和结果评价运用，硬化预算绩效约束，提升资金使用效益。三是纵深推进区属国企改革，全面落实国企经理层任期制和契约化管理，强化考核刚性兑现，规范企业运营管理，完善“三重一大”决策机制，提升国企经营质效和国资监管水平。</w:t>
      </w:r>
    </w:p>
    <w:p w14:paraId="3AF86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7ADD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主任、各位副主任、各位委员：</w:t>
      </w:r>
    </w:p>
    <w:p w14:paraId="7EED5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sectPr>
          <w:footerReference r:id="rId3" w:type="default"/>
          <w:pgSz w:w="11906" w:h="16838"/>
          <w:pgMar w:top="1417" w:right="1474" w:bottom="141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2026年是全面实施“十五五”规划的开局起步之年，我们将坚持以习近平新时代中国特色社会主义思想为指导，在区委的坚强领导下，自觉接受人大及其常委会监督，积极履行财政核心职能，凝心聚力、真抓实干、担当作为，全力完成全年各项财政目标任务，为全区经济社会高质量发展筑牢坚实财力支撑。</w:t>
      </w:r>
    </w:p>
    <w:tbl>
      <w:tblPr>
        <w:tblStyle w:val="10"/>
        <w:tblW w:w="106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050"/>
        <w:gridCol w:w="946"/>
        <w:gridCol w:w="946"/>
        <w:gridCol w:w="2694"/>
        <w:gridCol w:w="1014"/>
        <w:gridCol w:w="1001"/>
        <w:gridCol w:w="1117"/>
      </w:tblGrid>
      <w:tr w14:paraId="16771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064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286C20">
            <w:pPr>
              <w:widowControl/>
              <w:rPr>
                <w:rFonts w:hint="default" w:ascii="Times New Roman" w:hAnsi="Times New Roman" w:eastAsia="黑体" w:cs="Times New Roman"/>
                <w:b/>
                <w:bCs/>
                <w:color w:val="000000"/>
                <w:spacing w:val="-6"/>
                <w:sz w:val="36"/>
                <w:szCs w:val="36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2"/>
                <w:szCs w:val="22"/>
              </w:rPr>
              <w:t>附表1</w:t>
            </w:r>
          </w:p>
          <w:p w14:paraId="7E488C12">
            <w:pPr>
              <w:widowControl/>
              <w:jc w:val="center"/>
              <w:rPr>
                <w:rFonts w:hint="default" w:ascii="Times New Roman" w:hAnsi="Times New Roman" w:eastAsia="经典粗宋简" w:cs="Times New Roman"/>
                <w:color w:val="000000"/>
                <w:kern w:val="0"/>
                <w:sz w:val="44"/>
                <w:szCs w:val="44"/>
              </w:rPr>
            </w:pPr>
            <w:r>
              <w:rPr>
                <w:rFonts w:hint="default" w:ascii="Times New Roman" w:hAnsi="Times New Roman" w:eastAsia="方正小标宋简体" w:cs="Times New Roman"/>
                <w:color w:val="000000"/>
                <w:spacing w:val="-6"/>
                <w:sz w:val="36"/>
                <w:szCs w:val="36"/>
              </w:rPr>
              <w:t>2025年全区公共财政收支决算表</w:t>
            </w:r>
          </w:p>
        </w:tc>
      </w:tr>
      <w:tr w14:paraId="23890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1872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2C6EC2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收入项目</w:t>
            </w: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574C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财政收入（万元）</w:t>
            </w:r>
          </w:p>
        </w:tc>
        <w:tc>
          <w:tcPr>
            <w:tcW w:w="269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722B7D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支出项目</w:t>
            </w:r>
          </w:p>
        </w:tc>
        <w:tc>
          <w:tcPr>
            <w:tcW w:w="313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F4DE71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财政支出（万元）</w:t>
            </w:r>
          </w:p>
        </w:tc>
      </w:tr>
      <w:tr w14:paraId="6ECC5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87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581AA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9C5D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预算数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4940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调整数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1280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决算数</w:t>
            </w:r>
          </w:p>
        </w:tc>
        <w:tc>
          <w:tcPr>
            <w:tcW w:w="26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130D2"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5FB38">
            <w:pPr>
              <w:widowControl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预算数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A83A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调整数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D19E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决算数</w:t>
            </w:r>
          </w:p>
        </w:tc>
      </w:tr>
      <w:tr w14:paraId="230DD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82CCE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一、地方财政收入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844FF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73500</w:t>
            </w: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7B9F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76000</w:t>
            </w: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BB99C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77176</w:t>
            </w: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91B0A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一、公共预算支出</w:t>
            </w:r>
          </w:p>
        </w:tc>
        <w:tc>
          <w:tcPr>
            <w:tcW w:w="1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4D87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178479</w:t>
            </w:r>
          </w:p>
        </w:tc>
        <w:tc>
          <w:tcPr>
            <w:tcW w:w="1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7408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214917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1782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218931</w:t>
            </w:r>
          </w:p>
        </w:tc>
      </w:tr>
      <w:tr w14:paraId="79888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AC34F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1、税收收入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0619C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60000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7AAB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54720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4C03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55209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61F54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 、一般公共服务支出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AAD18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16547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C2AE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19200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E7A26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19788</w:t>
            </w:r>
          </w:p>
        </w:tc>
      </w:tr>
      <w:tr w14:paraId="7E794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D80B6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2、非税收入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5D98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13500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F34C9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21280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20CE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21967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9199F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2、国防支出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68A0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263A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314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F330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296</w:t>
            </w:r>
          </w:p>
        </w:tc>
      </w:tr>
      <w:tr w14:paraId="221D8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6A845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二、转移性收入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88430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81500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10CEA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107080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0EEF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107809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6C551A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3、公共安全支出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0A8B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447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255D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722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EF79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787</w:t>
            </w:r>
          </w:p>
        </w:tc>
      </w:tr>
      <w:tr w14:paraId="04740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6C7993D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1、返还性收入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3F30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-3970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84BD1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-3970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23FFD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-3970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C2DB0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4、教育支出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63EE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36690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BABC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37000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C5F6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37083</w:t>
            </w:r>
          </w:p>
        </w:tc>
      </w:tr>
      <w:tr w14:paraId="045EF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7E771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2、一般性转移支付（非共同事权）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C25FD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35470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63DF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39000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A7A6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43631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1B1A43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5、科学技术支出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8A134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680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56CF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5300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4D31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5242</w:t>
            </w:r>
          </w:p>
        </w:tc>
      </w:tr>
      <w:tr w14:paraId="7BD70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9A95E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3、一般性转移支付（共同事权）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737D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40000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B8BA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45000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9F45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40298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0DBFA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6、文化旅游体育与传媒支出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FDEE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565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B09C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734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FB562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827</w:t>
            </w:r>
          </w:p>
        </w:tc>
      </w:tr>
      <w:tr w14:paraId="4DC29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C7E4A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4、专项转移支付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4360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10000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95D83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27050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E466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27850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D2231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7、社会保障和就业支出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C381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31972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E3965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48000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E3B9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49715</w:t>
            </w:r>
          </w:p>
        </w:tc>
      </w:tr>
      <w:tr w14:paraId="1EC1A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8C6B8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三、调入资金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4497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10000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42CA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45000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B3775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49056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B0BC0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8、卫生健康支出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B923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10826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08D39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19000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AD99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20651</w:t>
            </w:r>
          </w:p>
        </w:tc>
      </w:tr>
      <w:tr w14:paraId="3960A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93A06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四、一般债券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5BE1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DE241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627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D36DF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5187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899D0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9、节能环保支出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35FBA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800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E124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2000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9B9B2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1732</w:t>
            </w:r>
          </w:p>
        </w:tc>
      </w:tr>
      <w:tr w14:paraId="4F5ED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7B22F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五、债务再融资收入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75EEF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671B4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4682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17F1A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9FE40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10、城乡社区支出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37D7C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6210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E1BA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2032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13285</w:t>
            </w:r>
          </w:p>
        </w:tc>
      </w:tr>
      <w:tr w14:paraId="65E55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0FEFA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六、上年结转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FEDB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20000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CF69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9731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F8C2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9731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DB17A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11、农林水支出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B061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27000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94CF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08458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42338</w:t>
            </w:r>
          </w:p>
        </w:tc>
      </w:tr>
      <w:tr w14:paraId="73C9B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7E08F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七、动用预算稳定调节基金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3E4C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83A74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985C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9D75F6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12、交通运输支出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1FCA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588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2142A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4500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4942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2696</w:t>
            </w:r>
          </w:p>
        </w:tc>
      </w:tr>
      <w:tr w14:paraId="54068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F4B1C">
            <w:pP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CD41D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F8510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E5EC1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DFFD2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13、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资源勘探工业信息等支出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E04C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5424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5126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8B61A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6027</w:t>
            </w:r>
          </w:p>
        </w:tc>
      </w:tr>
      <w:tr w14:paraId="6AF0A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C5680">
            <w:pP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A24F1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3AECC5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53EDA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67885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14、商业服务业支出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B727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3B7A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C2ACB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79</w:t>
            </w:r>
          </w:p>
        </w:tc>
      </w:tr>
      <w:tr w14:paraId="56D30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685C0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C8ECF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4CA0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541F6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6396C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金融支出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080E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6772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F79E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130</w:t>
            </w:r>
          </w:p>
        </w:tc>
      </w:tr>
      <w:tr w14:paraId="63D7B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6DD9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4A00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19C7F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7595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CC4CD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15、自然资源海洋气象等支出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F45F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5C10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577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083D2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val="en-US" w:eastAsia="zh-CN"/>
              </w:rPr>
              <w:t>702</w:t>
            </w:r>
          </w:p>
        </w:tc>
      </w:tr>
      <w:tr w14:paraId="5E46A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B4DA3">
            <w:pP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9E10D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F322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BDA4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EB30D6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16、住房保障支出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D0AAC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9198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DAC04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9300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853F7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14253</w:t>
            </w:r>
          </w:p>
        </w:tc>
      </w:tr>
      <w:tr w14:paraId="38CA5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3779">
            <w:pP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B1C6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96BC1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77D9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B7449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17、灾害防治及应急管理支出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D50E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1159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22042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1400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17FA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1562</w:t>
            </w:r>
          </w:p>
        </w:tc>
      </w:tr>
      <w:tr w14:paraId="1B162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5957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6369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BEC59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DECF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68C288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18、预备费</w:t>
            </w:r>
          </w:p>
        </w:tc>
        <w:tc>
          <w:tcPr>
            <w:tcW w:w="1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E2D0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2000</w:t>
            </w:r>
          </w:p>
        </w:tc>
        <w:tc>
          <w:tcPr>
            <w:tcW w:w="1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7D68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4429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14:paraId="4B80D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2FD9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642CA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CF8A6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F4B28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CD62E6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19、其他支出</w:t>
            </w:r>
          </w:p>
        </w:tc>
        <w:tc>
          <w:tcPr>
            <w:tcW w:w="10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AB0BB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31800</w:t>
            </w:r>
          </w:p>
        </w:tc>
        <w:tc>
          <w:tcPr>
            <w:tcW w:w="1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A9B9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EF01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14:paraId="6339D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A51A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115BC2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68F21B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C73A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4087EB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20、债务付息支出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8CFE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1723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4C32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1734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4A0B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1734</w:t>
            </w:r>
          </w:p>
        </w:tc>
      </w:tr>
      <w:tr w14:paraId="46A18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BEF2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FEBDC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56C6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24E61E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F8CB19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21、债务发行费用支出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42FA9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8112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F065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14:paraId="2F479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ABDE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7EBAE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955D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2822A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F0CE5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二、上解支出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A8176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6000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4633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7878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0014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8409</w:t>
            </w:r>
          </w:p>
        </w:tc>
      </w:tr>
      <w:tr w14:paraId="1F3AD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DCCA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B475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708C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0E23C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E353F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三、补充稳定调节基金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4515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266F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C817B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1176</w:t>
            </w:r>
          </w:p>
        </w:tc>
      </w:tr>
      <w:tr w14:paraId="77619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8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40F2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34A3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2174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B034F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16283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四、债务还本支出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B663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521</w:t>
            </w:r>
          </w:p>
        </w:tc>
        <w:tc>
          <w:tcPr>
            <w:tcW w:w="10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FB40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5325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B132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5324</w:t>
            </w:r>
          </w:p>
        </w:tc>
      </w:tr>
      <w:tr w14:paraId="65C5C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872" w:type="dxa"/>
            <w:vAlign w:val="center"/>
          </w:tcPr>
          <w:p w14:paraId="1836EA6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4D18A82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946" w:type="dxa"/>
            <w:vAlign w:val="center"/>
          </w:tcPr>
          <w:p w14:paraId="033D441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946" w:type="dxa"/>
            <w:vAlign w:val="center"/>
          </w:tcPr>
          <w:p w14:paraId="5D4B88A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0D6B7B94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五、调出资金</w:t>
            </w:r>
          </w:p>
        </w:tc>
        <w:tc>
          <w:tcPr>
            <w:tcW w:w="1014" w:type="dxa"/>
            <w:vAlign w:val="center"/>
          </w:tcPr>
          <w:p w14:paraId="38065D8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1" w:type="dxa"/>
            <w:vAlign w:val="center"/>
          </w:tcPr>
          <w:p w14:paraId="67E3A7C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17" w:type="dxa"/>
            <w:vAlign w:val="center"/>
          </w:tcPr>
          <w:p w14:paraId="38121FC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14:paraId="0260B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872" w:type="dxa"/>
            <w:vAlign w:val="center"/>
          </w:tcPr>
          <w:p w14:paraId="5ABFAC0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1050" w:type="dxa"/>
            <w:vAlign w:val="center"/>
          </w:tcPr>
          <w:p w14:paraId="68F2C80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946" w:type="dxa"/>
            <w:vAlign w:val="center"/>
          </w:tcPr>
          <w:p w14:paraId="6D04007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946" w:type="dxa"/>
            <w:vAlign w:val="center"/>
          </w:tcPr>
          <w:p w14:paraId="063CF26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2A3B7D70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六、年终结余</w:t>
            </w:r>
          </w:p>
        </w:tc>
        <w:tc>
          <w:tcPr>
            <w:tcW w:w="1014" w:type="dxa"/>
            <w:vAlign w:val="center"/>
          </w:tcPr>
          <w:p w14:paraId="71C66A8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01" w:type="dxa"/>
            <w:vAlign w:val="center"/>
          </w:tcPr>
          <w:p w14:paraId="5566F5F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15000</w:t>
            </w:r>
          </w:p>
        </w:tc>
        <w:tc>
          <w:tcPr>
            <w:tcW w:w="1117" w:type="dxa"/>
            <w:vAlign w:val="center"/>
          </w:tcPr>
          <w:p w14:paraId="3C3705D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15241</w:t>
            </w:r>
          </w:p>
        </w:tc>
      </w:tr>
      <w:tr w14:paraId="6561E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872" w:type="dxa"/>
            <w:vAlign w:val="center"/>
          </w:tcPr>
          <w:p w14:paraId="5D0F06F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合   计</w:t>
            </w:r>
          </w:p>
        </w:tc>
        <w:tc>
          <w:tcPr>
            <w:tcW w:w="1050" w:type="dxa"/>
            <w:vAlign w:val="center"/>
          </w:tcPr>
          <w:p w14:paraId="504613A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185000</w:t>
            </w:r>
          </w:p>
        </w:tc>
        <w:tc>
          <w:tcPr>
            <w:tcW w:w="946" w:type="dxa"/>
            <w:vAlign w:val="center"/>
          </w:tcPr>
          <w:p w14:paraId="17D1B5F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243120</w:t>
            </w:r>
          </w:p>
        </w:tc>
        <w:tc>
          <w:tcPr>
            <w:tcW w:w="946" w:type="dxa"/>
            <w:vAlign w:val="center"/>
          </w:tcPr>
          <w:p w14:paraId="448FD32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249081</w:t>
            </w:r>
          </w:p>
        </w:tc>
        <w:tc>
          <w:tcPr>
            <w:tcW w:w="2694" w:type="dxa"/>
            <w:vAlign w:val="center"/>
          </w:tcPr>
          <w:p w14:paraId="2BAF705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合   计</w:t>
            </w:r>
          </w:p>
        </w:tc>
        <w:tc>
          <w:tcPr>
            <w:tcW w:w="1014" w:type="dxa"/>
            <w:vAlign w:val="center"/>
          </w:tcPr>
          <w:p w14:paraId="1BB18F8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185000</w:t>
            </w:r>
          </w:p>
        </w:tc>
        <w:tc>
          <w:tcPr>
            <w:tcW w:w="1001" w:type="dxa"/>
            <w:vAlign w:val="center"/>
          </w:tcPr>
          <w:p w14:paraId="7836EFA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243120</w:t>
            </w:r>
          </w:p>
        </w:tc>
        <w:tc>
          <w:tcPr>
            <w:tcW w:w="1117" w:type="dxa"/>
            <w:vAlign w:val="center"/>
          </w:tcPr>
          <w:p w14:paraId="027962D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249081</w:t>
            </w:r>
          </w:p>
        </w:tc>
      </w:tr>
    </w:tbl>
    <w:p w14:paraId="568CC718">
      <w:pPr>
        <w:rPr>
          <w:rFonts w:hint="default" w:ascii="Times New Roman" w:hAnsi="Times New Roman" w:eastAsia="仿宋_GB2312" w:cs="Times New Roman"/>
          <w:color w:val="000000"/>
          <w:spacing w:val="-6"/>
          <w:sz w:val="24"/>
        </w:rPr>
      </w:pPr>
      <w:r>
        <w:rPr>
          <w:rFonts w:hint="default" w:ascii="Times New Roman" w:hAnsi="Times New Roman" w:eastAsia="仿宋_GB2312" w:cs="Times New Roman"/>
          <w:color w:val="000000"/>
          <w:spacing w:val="-6"/>
          <w:sz w:val="24"/>
        </w:rPr>
        <w:br w:type="page"/>
      </w:r>
    </w:p>
    <w:p w14:paraId="2DE70A55">
      <w:pPr>
        <w:widowControl/>
        <w:rPr>
          <w:rFonts w:hint="default" w:ascii="Times New Roman" w:hAnsi="Times New Roman" w:eastAsia="黑体" w:cs="Times New Roman"/>
          <w:color w:val="000000"/>
          <w:spacing w:val="-6"/>
          <w:sz w:val="24"/>
        </w:rPr>
      </w:pPr>
      <w:r>
        <w:rPr>
          <w:rFonts w:hint="default" w:ascii="Times New Roman" w:hAnsi="Times New Roman" w:eastAsia="黑体" w:cs="Times New Roman"/>
          <w:color w:val="000000"/>
          <w:spacing w:val="-6"/>
          <w:sz w:val="24"/>
        </w:rPr>
        <w:t>附表2</w:t>
      </w:r>
    </w:p>
    <w:p w14:paraId="594D5DA4">
      <w:pPr>
        <w:widowControl/>
        <w:jc w:val="center"/>
        <w:rPr>
          <w:rFonts w:hint="default" w:ascii="Times New Roman" w:hAnsi="Times New Roman" w:eastAsia="方正小标宋简体" w:cs="Times New Roman"/>
          <w:color w:val="000000"/>
          <w:spacing w:val="-6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color w:val="000000"/>
          <w:spacing w:val="-6"/>
          <w:sz w:val="36"/>
          <w:szCs w:val="36"/>
        </w:rPr>
        <w:t>2026年1-6月份全区预算执行情况表</w:t>
      </w:r>
    </w:p>
    <w:tbl>
      <w:tblPr>
        <w:tblStyle w:val="10"/>
        <w:tblpPr w:leftFromText="180" w:rightFromText="180" w:vertAnchor="text" w:horzAnchor="page" w:tblpXSpec="center" w:tblpY="80"/>
        <w:tblOverlap w:val="never"/>
        <w:tblW w:w="108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943"/>
        <w:gridCol w:w="947"/>
        <w:gridCol w:w="1026"/>
        <w:gridCol w:w="2264"/>
        <w:gridCol w:w="1366"/>
        <w:gridCol w:w="1055"/>
        <w:gridCol w:w="1126"/>
      </w:tblGrid>
      <w:tr w14:paraId="04A39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215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938DC1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收入项目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96AD7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财政收入（万元）</w:t>
            </w:r>
          </w:p>
        </w:tc>
        <w:tc>
          <w:tcPr>
            <w:tcW w:w="226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98313A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支出项目</w:t>
            </w:r>
          </w:p>
        </w:tc>
        <w:tc>
          <w:tcPr>
            <w:tcW w:w="35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7B0E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财政支出（万元）</w:t>
            </w:r>
          </w:p>
        </w:tc>
      </w:tr>
      <w:tr w14:paraId="18E66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215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C975D5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DD1AD9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预算数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228D73F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执行数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3F0354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占预算（%）</w:t>
            </w:r>
          </w:p>
        </w:tc>
        <w:tc>
          <w:tcPr>
            <w:tcW w:w="2264" w:type="dxa"/>
            <w:vMerge w:val="continue"/>
            <w:tcBorders>
              <w:left w:val="nil"/>
              <w:bottom w:val="nil"/>
              <w:right w:val="single" w:color="auto" w:sz="4" w:space="0"/>
            </w:tcBorders>
            <w:vAlign w:val="center"/>
          </w:tcPr>
          <w:p w14:paraId="76B0D7D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A495425">
            <w:pPr>
              <w:widowControl/>
              <w:ind w:right="-212" w:rightChars="-101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预算数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1F001">
            <w:pPr>
              <w:widowControl/>
              <w:tabs>
                <w:tab w:val="left" w:pos="840"/>
              </w:tabs>
              <w:ind w:right="-206" w:rightChars="-98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执行数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709980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占预算（%）</w:t>
            </w:r>
          </w:p>
        </w:tc>
      </w:tr>
      <w:tr w14:paraId="12F3C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C399C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一、地方财政收入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645BC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80000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F61EF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46498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61DA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.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2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D9321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一、公共预算支出小计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E974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191136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6749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107939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E408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56.47</w:t>
            </w:r>
          </w:p>
        </w:tc>
      </w:tr>
      <w:tr w14:paraId="4E5B4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147E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1、税收收入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7F812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58000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BC5B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29608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0069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51.05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6C2A5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1、一般公共服务支出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8110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15369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46F3E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9364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4CDC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60.93</w:t>
            </w:r>
          </w:p>
        </w:tc>
      </w:tr>
      <w:tr w14:paraId="574F3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BAFAB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2、非税收入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C539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22000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24A8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16890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43CC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76.77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33CEC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2、国防支出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3E26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315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BBD1D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110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D5FB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34.92</w:t>
            </w:r>
          </w:p>
        </w:tc>
      </w:tr>
      <w:tr w14:paraId="094F1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4F4D8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二、转移性收入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0FA1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77742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D5C2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55426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631CB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71.29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A6A62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3、公共安全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7A5F2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730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C72B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377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BAF4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51.64</w:t>
            </w:r>
          </w:p>
        </w:tc>
      </w:tr>
      <w:tr w14:paraId="6CA70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842CD57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1、返还性收入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ABCA0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-3970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0942E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-3970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4FA7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100.00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79CA83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4、教育支出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B6ECD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37200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A2FE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23043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7373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61.94</w:t>
            </w:r>
          </w:p>
        </w:tc>
      </w:tr>
      <w:tr w14:paraId="37104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D7A3F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2、一般性转移支付（非共同事权）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D5DA3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36712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8716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21830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7934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59.46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5EC5C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5、科学技术支出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8941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5500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B6B8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2129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88B44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38.71</w:t>
            </w:r>
          </w:p>
        </w:tc>
      </w:tr>
      <w:tr w14:paraId="11587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B3F85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3、一般性转移支付（共同事权）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E0DDF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35000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26F61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32394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B80C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92.55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788F2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6、文化旅游体育与传媒支出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5DC34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550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041A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984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C58F3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178.91</w:t>
            </w:r>
          </w:p>
        </w:tc>
      </w:tr>
      <w:tr w14:paraId="01636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3A5AB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4、专项转移支付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5EA63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10000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AD32B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5172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2681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51.72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D4B32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7、社会保障与就业支出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A3816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41000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A2E84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25270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0124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61.63</w:t>
            </w:r>
          </w:p>
        </w:tc>
      </w:tr>
      <w:tr w14:paraId="1CCA6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1F6AC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三、调入资金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3605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25000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321FF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2981E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F3CAC1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8、卫生健康支出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1813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13238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D61A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10086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6F40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76.19</w:t>
            </w:r>
          </w:p>
        </w:tc>
      </w:tr>
      <w:tr w14:paraId="25E2F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034F5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四、一般债券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8CDFB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644B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9916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B08A8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3B663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9、节能环保支出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D0C4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1000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D13F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130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9798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13.00</w:t>
            </w:r>
          </w:p>
        </w:tc>
      </w:tr>
      <w:tr w14:paraId="70697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F9742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1、新增一般债券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01878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84964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D22C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8C5A4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10、城乡社区支出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6DAC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15000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F187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7465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13AE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49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.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77</w:t>
            </w:r>
          </w:p>
        </w:tc>
      </w:tr>
      <w:tr w14:paraId="0CF1B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5827A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2、再融资债券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8872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7A0E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9916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9804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A97EF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11、农林水支出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377E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45000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07B3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20829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400B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.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</w:tr>
      <w:tr w14:paraId="5F4CF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414A5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五、乡镇上解收入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B2AE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6AFC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2A70D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9142D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12、交通运输支出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EB9C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3000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1590A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1155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0E761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38.50</w:t>
            </w:r>
          </w:p>
        </w:tc>
      </w:tr>
      <w:tr w14:paraId="32304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01157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六、上年结转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3E93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15238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F20B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10849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71B2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71.20</w:t>
            </w: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D20DD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13、资源勘探信息等支出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E9DB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2000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16B6B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691B8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20FC2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8C533">
            <w:pP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  <w:t>七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、动用预算稳定调节基金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5C6B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2258</w:t>
            </w: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C7285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E60205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34299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14、商业服务等事务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A6B04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A1E61C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58913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0A967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13FF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60E53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C3C28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  <w:p w14:paraId="47E8602B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6868B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2A648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15、金融支出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B1EA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17DA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CB045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772F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A86B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D9AF2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A276A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B4144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3ABAA4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16、自然资源海洋气象等支出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73F3F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600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9F37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85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6CA4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14.17</w:t>
            </w:r>
          </w:p>
        </w:tc>
      </w:tr>
      <w:tr w14:paraId="13CB7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DABE5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8FC52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BDD332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EF4EC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8B34B7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17、住房保障支出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2494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5500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7C3E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5114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F02B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92.98</w:t>
            </w:r>
          </w:p>
        </w:tc>
      </w:tr>
      <w:tr w14:paraId="4EE81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D152C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96C83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BA03B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CF455A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133C18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18、灾害防治及应急管理支出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DB5E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1500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C319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810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44459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54.00</w:t>
            </w:r>
          </w:p>
        </w:tc>
      </w:tr>
      <w:tr w14:paraId="1AA38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75243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84162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612184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CA907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18856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19、预备费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A0933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2000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5E93F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FE41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0</w:t>
            </w:r>
          </w:p>
        </w:tc>
      </w:tr>
      <w:tr w14:paraId="75150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EF0C8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2BCFEB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50E8F7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F7F8E7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8F764B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20、债务付息支出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3E10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1624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1089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988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1CA6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60.84</w:t>
            </w:r>
          </w:p>
        </w:tc>
      </w:tr>
      <w:tr w14:paraId="74EA6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865D6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BC9D2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05B9D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29096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80733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21、债务发行费用支出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42B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10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AE558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9BEE4">
            <w:pPr>
              <w:widowControl/>
              <w:ind w:firstLine="22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0</w:t>
            </w:r>
          </w:p>
        </w:tc>
      </w:tr>
      <w:tr w14:paraId="5C771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25CC6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40113C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DAF3E8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6B5C1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0FFE6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22、其他支出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1412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F220C6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B0C3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0</w:t>
            </w:r>
          </w:p>
        </w:tc>
      </w:tr>
      <w:tr w14:paraId="0939B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CD98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35098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5E80F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64931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393EC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二、上解支出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00A2A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8000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2F164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0F551">
            <w:pPr>
              <w:widowControl/>
              <w:ind w:firstLine="22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14:paraId="26B39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83330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08F5C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43633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04515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36FEA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  <w:t>三、债务还本支出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BF466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1102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B506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11018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26D46">
            <w:pPr>
              <w:widowControl/>
              <w:ind w:firstLine="22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  <w:t>999.82</w:t>
            </w:r>
          </w:p>
        </w:tc>
      </w:tr>
      <w:tr w14:paraId="49C0D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7A0C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</w:rPr>
              <w:t>合 计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F1F73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200238</w:t>
            </w:r>
          </w:p>
        </w:tc>
        <w:tc>
          <w:tcPr>
            <w:tcW w:w="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79770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122689</w:t>
            </w:r>
          </w:p>
        </w:tc>
        <w:tc>
          <w:tcPr>
            <w:tcW w:w="10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7048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61.27</w:t>
            </w:r>
          </w:p>
        </w:tc>
        <w:tc>
          <w:tcPr>
            <w:tcW w:w="22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94AC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</w:rPr>
              <w:t>合 计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1DA10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200238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7E66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118957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1B774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59.41</w:t>
            </w:r>
          </w:p>
        </w:tc>
      </w:tr>
    </w:tbl>
    <w:p w14:paraId="6F64B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Times New Roman" w:hAnsi="Times New Roman" w:cs="Times New Roman"/>
        </w:rPr>
      </w:pPr>
    </w:p>
    <w:sectPr>
      <w:pgSz w:w="11906" w:h="16838"/>
      <w:pgMar w:top="964" w:right="1474" w:bottom="907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经典粗宋简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D2E4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9BA537">
                          <w:pPr>
                            <w:pStyle w:val="6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Im1Nq7IAQAAnQMAAA4AAABkcnMvZTJvRG9jLnhtbK1TS27bMBDdF+gd&#10;CO5ryV4UhmA5KGAkCFC0AdIegKYoiwB/mKEt+QLtDbrqpvuey+fokJKcNN1k0Q01MyQf33sz2twM&#10;1rCTAtTe1Xy5KDlTTvpGu0PNv365fbfmDKNwjTDeqZqfFfKb7ds3mz5UauU7bxoFjEAcVn2oeRdj&#10;qIoCZaeswIUPytFm68GKSCkcigZET+jWFKuyfF/0HpoAXipEqu7GTT4hwmsAfdtqqXZeHq1ycUQF&#10;ZUQkSdjpgHyb2batkvFz26KKzNSclMa80iMU79NabDeiOoAInZYTBfEaCi80WaEdPXqF2oko2BH0&#10;P1BWS/Do27iQ3hajkOwIqViWL7x57ERQWQtZjeFqOv4/WPnp9ABMNzQJnDlhqeGXH98vP39ffn1j&#10;y2RPH7CiU4/hAaYMKUxahxZs+pIKNmRLz1dL1RCZpOJyvVqvS3Jb0t6cEE7xdD0AxjvlLUtBzYF6&#10;lq0Up48Yx6PzkfSa87faGKqLyri/CoQ5VlRu/HQ78R8ZpygO+2GSsffNmbT31PyaO5p1zsy9I2/T&#10;nMwBzMF+Do4B9KEjosvMEsOHYyRKmWl6YYQlhSmhrmWt04SlsXie51NPf9X2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l1uVLQAAAABQEAAA8AAAAAAAAAAQAgAAAAIgAAAGRycy9kb3ducmV2Lnht&#10;bFBLAQIUABQAAAAIAIdO4kCJtTauyAEAAJ0DAAAOAAAAAAAAAAEAIAAAAB8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9BA537">
                    <w:pPr>
                      <w:pStyle w:val="6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- 7 -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B626E"/>
    <w:multiLevelType w:val="multilevel"/>
    <w:tmpl w:val="031B626E"/>
    <w:lvl w:ilvl="0" w:tentative="0">
      <w:start w:val="1"/>
      <w:numFmt w:val="none"/>
      <w:suff w:val="space"/>
      <w:lvlText w:val=""/>
      <w:lvlJc w:val="center"/>
      <w:pPr>
        <w:ind w:firstLine="288"/>
      </w:pPr>
      <w:rPr>
        <w:rFonts w:hint="eastAsia" w:cs="Times New Roman"/>
      </w:rPr>
    </w:lvl>
    <w:lvl w:ilvl="1" w:tentative="0">
      <w:start w:val="1"/>
      <w:numFmt w:val="chineseCountingThousand"/>
      <w:suff w:val="space"/>
      <w:lvlText w:val="第%2章"/>
      <w:lvlJc w:val="center"/>
      <w:pPr>
        <w:ind w:left="0" w:firstLine="288"/>
      </w:pPr>
      <w:rPr>
        <w:rFonts w:hint="eastAsia" w:eastAsia="黑体"/>
        <w:sz w:val="32"/>
      </w:rPr>
    </w:lvl>
    <w:lvl w:ilvl="2" w:tentative="0">
      <w:start w:val="1"/>
      <w:numFmt w:val="chineseCountingThousand"/>
      <w:suff w:val="space"/>
      <w:lvlText w:val="第%3节"/>
      <w:lvlJc w:val="center"/>
      <w:pPr>
        <w:ind w:left="-146" w:firstLine="288"/>
      </w:pPr>
    </w:lvl>
    <w:lvl w:ilvl="3" w:tentative="0">
      <w:start w:val="1"/>
      <w:numFmt w:val="chineseCountingThousand"/>
      <w:pStyle w:val="3"/>
      <w:suff w:val="nothing"/>
      <w:lvlText w:val="%4、"/>
      <w:lvlJc w:val="left"/>
      <w:pPr>
        <w:ind w:left="2272" w:hanging="1988"/>
      </w:pPr>
      <w:rPr>
        <w:rFonts w:hint="eastAsia"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spacing w:val="0"/>
        <w:kern w:val="0"/>
        <w:position w:val="0"/>
        <w:u w:val="none"/>
        <w:lang w:val="en-US"/>
      </w:rPr>
    </w:lvl>
    <w:lvl w:ilvl="4" w:tentative="0">
      <w:start w:val="1"/>
      <w:numFmt w:val="decimal"/>
      <w:suff w:val="nothing"/>
      <w:lvlText w:val="%5、"/>
      <w:lvlJc w:val="left"/>
      <w:pPr>
        <w:ind w:left="57" w:firstLine="510"/>
      </w:pPr>
      <w:rPr>
        <w:rFonts w:hint="eastAsia"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spacing w:val="0"/>
        <w:kern w:val="0"/>
        <w:position w:val="0"/>
        <w:u w:val="none"/>
      </w:rPr>
    </w:lvl>
    <w:lvl w:ilvl="5" w:tentative="0">
      <w:start w:val="1"/>
      <w:numFmt w:val="decimal"/>
      <w:suff w:val="nothing"/>
      <w:lvlText w:val="%6）"/>
      <w:lvlJc w:val="left"/>
      <w:pPr>
        <w:ind w:left="199" w:firstLine="510"/>
      </w:pPr>
      <w:rPr>
        <w:rFonts w:hint="eastAsia" w:cs="Times New Roman"/>
      </w:rPr>
    </w:lvl>
    <w:lvl w:ilvl="6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7" w:tentative="0">
      <w:start w:val="1"/>
      <w:numFmt w:val="none"/>
      <w:suff w:val="nothing"/>
      <w:lvlText w:val=""/>
      <w:lvlJc w:val="left"/>
      <w:rPr>
        <w:rFonts w:hint="eastAsia" w:cs="Times New Roman"/>
      </w:rPr>
    </w:lvl>
    <w:lvl w:ilvl="8" w:tentative="0">
      <w:start w:val="1"/>
      <w:numFmt w:val="none"/>
      <w:suff w:val="nothing"/>
      <w:lvlText w:val=""/>
      <w:lvlJc w:val="left"/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F6A00"/>
    <w:rsid w:val="000170A4"/>
    <w:rsid w:val="00017D46"/>
    <w:rsid w:val="000275BD"/>
    <w:rsid w:val="0005484D"/>
    <w:rsid w:val="001002DF"/>
    <w:rsid w:val="00137BB4"/>
    <w:rsid w:val="0014696B"/>
    <w:rsid w:val="00146F08"/>
    <w:rsid w:val="00156AF1"/>
    <w:rsid w:val="001762DB"/>
    <w:rsid w:val="001C66E0"/>
    <w:rsid w:val="001E14AD"/>
    <w:rsid w:val="001E366A"/>
    <w:rsid w:val="00206158"/>
    <w:rsid w:val="00230B2F"/>
    <w:rsid w:val="0027061E"/>
    <w:rsid w:val="002715B9"/>
    <w:rsid w:val="00274953"/>
    <w:rsid w:val="002975F1"/>
    <w:rsid w:val="002B6978"/>
    <w:rsid w:val="002C54D2"/>
    <w:rsid w:val="0036257C"/>
    <w:rsid w:val="003A345C"/>
    <w:rsid w:val="003B635E"/>
    <w:rsid w:val="00405473"/>
    <w:rsid w:val="0043672A"/>
    <w:rsid w:val="0046591B"/>
    <w:rsid w:val="004666A7"/>
    <w:rsid w:val="00494AA3"/>
    <w:rsid w:val="00496DA9"/>
    <w:rsid w:val="004D13F0"/>
    <w:rsid w:val="004E14A0"/>
    <w:rsid w:val="004E2524"/>
    <w:rsid w:val="004F51AE"/>
    <w:rsid w:val="0051286D"/>
    <w:rsid w:val="00547455"/>
    <w:rsid w:val="00574E09"/>
    <w:rsid w:val="00576148"/>
    <w:rsid w:val="005A5658"/>
    <w:rsid w:val="005C4F02"/>
    <w:rsid w:val="005C783E"/>
    <w:rsid w:val="005D183D"/>
    <w:rsid w:val="005D588B"/>
    <w:rsid w:val="005D76F1"/>
    <w:rsid w:val="005E58EC"/>
    <w:rsid w:val="005E761D"/>
    <w:rsid w:val="00601084"/>
    <w:rsid w:val="00603DAB"/>
    <w:rsid w:val="00631C32"/>
    <w:rsid w:val="0063536C"/>
    <w:rsid w:val="006403D0"/>
    <w:rsid w:val="00657B0D"/>
    <w:rsid w:val="00676BB7"/>
    <w:rsid w:val="007041AA"/>
    <w:rsid w:val="00743B00"/>
    <w:rsid w:val="00754842"/>
    <w:rsid w:val="00755FF3"/>
    <w:rsid w:val="007716DB"/>
    <w:rsid w:val="007D5819"/>
    <w:rsid w:val="007E3A5F"/>
    <w:rsid w:val="007E7208"/>
    <w:rsid w:val="008028A5"/>
    <w:rsid w:val="00816853"/>
    <w:rsid w:val="0083571A"/>
    <w:rsid w:val="00872348"/>
    <w:rsid w:val="008B110D"/>
    <w:rsid w:val="008B1170"/>
    <w:rsid w:val="008D3EFD"/>
    <w:rsid w:val="008E4AD4"/>
    <w:rsid w:val="008E5035"/>
    <w:rsid w:val="008F38E6"/>
    <w:rsid w:val="00957A57"/>
    <w:rsid w:val="00975FB2"/>
    <w:rsid w:val="0098059E"/>
    <w:rsid w:val="009E415C"/>
    <w:rsid w:val="00A05524"/>
    <w:rsid w:val="00A1522A"/>
    <w:rsid w:val="00A542A2"/>
    <w:rsid w:val="00A6511A"/>
    <w:rsid w:val="00A93793"/>
    <w:rsid w:val="00AA733C"/>
    <w:rsid w:val="00AB22E8"/>
    <w:rsid w:val="00B02CAB"/>
    <w:rsid w:val="00B2797F"/>
    <w:rsid w:val="00B86397"/>
    <w:rsid w:val="00BD5C54"/>
    <w:rsid w:val="00BE186A"/>
    <w:rsid w:val="00BE3EBD"/>
    <w:rsid w:val="00BF2FC0"/>
    <w:rsid w:val="00BF464D"/>
    <w:rsid w:val="00BF706B"/>
    <w:rsid w:val="00BF7FA6"/>
    <w:rsid w:val="00C91CFB"/>
    <w:rsid w:val="00CD41BB"/>
    <w:rsid w:val="00D1727B"/>
    <w:rsid w:val="00D45FD1"/>
    <w:rsid w:val="00D832EF"/>
    <w:rsid w:val="00D90D34"/>
    <w:rsid w:val="00DA2BE4"/>
    <w:rsid w:val="00DB644F"/>
    <w:rsid w:val="00DE6895"/>
    <w:rsid w:val="00DF14BB"/>
    <w:rsid w:val="00F305D0"/>
    <w:rsid w:val="00F43BEE"/>
    <w:rsid w:val="00F61F7A"/>
    <w:rsid w:val="00F86E7A"/>
    <w:rsid w:val="00FF361A"/>
    <w:rsid w:val="01341807"/>
    <w:rsid w:val="013E2686"/>
    <w:rsid w:val="01787946"/>
    <w:rsid w:val="01DF79C5"/>
    <w:rsid w:val="01EA0118"/>
    <w:rsid w:val="023A109F"/>
    <w:rsid w:val="02427F54"/>
    <w:rsid w:val="02477318"/>
    <w:rsid w:val="02506B29"/>
    <w:rsid w:val="027345B1"/>
    <w:rsid w:val="02B26E88"/>
    <w:rsid w:val="02B524D4"/>
    <w:rsid w:val="02C1356F"/>
    <w:rsid w:val="02D908B8"/>
    <w:rsid w:val="0320093A"/>
    <w:rsid w:val="032338E1"/>
    <w:rsid w:val="03321D3A"/>
    <w:rsid w:val="03394EB3"/>
    <w:rsid w:val="033B6E7D"/>
    <w:rsid w:val="0365214C"/>
    <w:rsid w:val="03802AE2"/>
    <w:rsid w:val="03C86237"/>
    <w:rsid w:val="03F11C32"/>
    <w:rsid w:val="041F054D"/>
    <w:rsid w:val="042C71E8"/>
    <w:rsid w:val="044E4DA0"/>
    <w:rsid w:val="046C0624"/>
    <w:rsid w:val="04E11CA6"/>
    <w:rsid w:val="05157BA2"/>
    <w:rsid w:val="056703FD"/>
    <w:rsid w:val="05882122"/>
    <w:rsid w:val="061B4D44"/>
    <w:rsid w:val="06367DD0"/>
    <w:rsid w:val="063B70C1"/>
    <w:rsid w:val="06520AA9"/>
    <w:rsid w:val="06857BF5"/>
    <w:rsid w:val="07247C28"/>
    <w:rsid w:val="073D0CEA"/>
    <w:rsid w:val="07832BA1"/>
    <w:rsid w:val="07A70F85"/>
    <w:rsid w:val="07DD49A7"/>
    <w:rsid w:val="07F4584C"/>
    <w:rsid w:val="07FC0BA5"/>
    <w:rsid w:val="08163A15"/>
    <w:rsid w:val="08325ED8"/>
    <w:rsid w:val="084418B6"/>
    <w:rsid w:val="084A5DB4"/>
    <w:rsid w:val="08662693"/>
    <w:rsid w:val="08816B15"/>
    <w:rsid w:val="08850B9A"/>
    <w:rsid w:val="08C37F22"/>
    <w:rsid w:val="08C47915"/>
    <w:rsid w:val="08D37B58"/>
    <w:rsid w:val="08DA2C94"/>
    <w:rsid w:val="09394B78"/>
    <w:rsid w:val="096F5AD2"/>
    <w:rsid w:val="09A935B1"/>
    <w:rsid w:val="09AD0C13"/>
    <w:rsid w:val="09B53366"/>
    <w:rsid w:val="09DA6CC4"/>
    <w:rsid w:val="09DB3168"/>
    <w:rsid w:val="0A042687"/>
    <w:rsid w:val="0A0F4BBF"/>
    <w:rsid w:val="0B865355"/>
    <w:rsid w:val="0B8769D7"/>
    <w:rsid w:val="0BA50FA8"/>
    <w:rsid w:val="0BAB0918"/>
    <w:rsid w:val="0C0B13B7"/>
    <w:rsid w:val="0C517711"/>
    <w:rsid w:val="0CEB5E30"/>
    <w:rsid w:val="0CF85DDF"/>
    <w:rsid w:val="0D570D57"/>
    <w:rsid w:val="0D782A7C"/>
    <w:rsid w:val="0DDB70EE"/>
    <w:rsid w:val="0DEA1BCB"/>
    <w:rsid w:val="0DFE791C"/>
    <w:rsid w:val="0E0013EF"/>
    <w:rsid w:val="0E252C04"/>
    <w:rsid w:val="0ED9579C"/>
    <w:rsid w:val="0EE859DF"/>
    <w:rsid w:val="0F354A6B"/>
    <w:rsid w:val="0F90195C"/>
    <w:rsid w:val="0FB3423F"/>
    <w:rsid w:val="0FD16554"/>
    <w:rsid w:val="10142F30"/>
    <w:rsid w:val="1021389E"/>
    <w:rsid w:val="10B77D5F"/>
    <w:rsid w:val="10BA1572"/>
    <w:rsid w:val="110813DF"/>
    <w:rsid w:val="11205904"/>
    <w:rsid w:val="112371A2"/>
    <w:rsid w:val="114C66F9"/>
    <w:rsid w:val="11671785"/>
    <w:rsid w:val="11D0732A"/>
    <w:rsid w:val="12045226"/>
    <w:rsid w:val="123034F6"/>
    <w:rsid w:val="12527D3F"/>
    <w:rsid w:val="12647A72"/>
    <w:rsid w:val="12863E8D"/>
    <w:rsid w:val="128D6FC9"/>
    <w:rsid w:val="12CE0840"/>
    <w:rsid w:val="12D1335A"/>
    <w:rsid w:val="12D22C2E"/>
    <w:rsid w:val="12EF6A00"/>
    <w:rsid w:val="131B354D"/>
    <w:rsid w:val="131E477A"/>
    <w:rsid w:val="135F1B05"/>
    <w:rsid w:val="13B011C1"/>
    <w:rsid w:val="13F03F36"/>
    <w:rsid w:val="142E658A"/>
    <w:rsid w:val="1448764C"/>
    <w:rsid w:val="147E306D"/>
    <w:rsid w:val="14983A03"/>
    <w:rsid w:val="14A81E98"/>
    <w:rsid w:val="150F3CC6"/>
    <w:rsid w:val="15192D96"/>
    <w:rsid w:val="151C63E2"/>
    <w:rsid w:val="152F11CC"/>
    <w:rsid w:val="156B7B78"/>
    <w:rsid w:val="157955E3"/>
    <w:rsid w:val="157E709D"/>
    <w:rsid w:val="15830413"/>
    <w:rsid w:val="15D942D4"/>
    <w:rsid w:val="163A7468"/>
    <w:rsid w:val="163F05DA"/>
    <w:rsid w:val="16461969"/>
    <w:rsid w:val="165B2BE6"/>
    <w:rsid w:val="16873D30"/>
    <w:rsid w:val="168E3310"/>
    <w:rsid w:val="16993A68"/>
    <w:rsid w:val="17771FF6"/>
    <w:rsid w:val="179761F4"/>
    <w:rsid w:val="17A36208"/>
    <w:rsid w:val="17EE7EE5"/>
    <w:rsid w:val="181066D2"/>
    <w:rsid w:val="18131D1F"/>
    <w:rsid w:val="18137F71"/>
    <w:rsid w:val="181A30AD"/>
    <w:rsid w:val="181D494B"/>
    <w:rsid w:val="18270054"/>
    <w:rsid w:val="185D2F9A"/>
    <w:rsid w:val="18B43502"/>
    <w:rsid w:val="18C4126B"/>
    <w:rsid w:val="19BB08C0"/>
    <w:rsid w:val="19C21C4E"/>
    <w:rsid w:val="19F20F73"/>
    <w:rsid w:val="1A1C031A"/>
    <w:rsid w:val="1A644AB4"/>
    <w:rsid w:val="1AB377E9"/>
    <w:rsid w:val="1ABA0B77"/>
    <w:rsid w:val="1AED2CFB"/>
    <w:rsid w:val="1B344993"/>
    <w:rsid w:val="1B3E5305"/>
    <w:rsid w:val="1B623216"/>
    <w:rsid w:val="1B762CF0"/>
    <w:rsid w:val="1BDA55EC"/>
    <w:rsid w:val="1BE33542"/>
    <w:rsid w:val="1BF260EF"/>
    <w:rsid w:val="1C4C3A51"/>
    <w:rsid w:val="1C511068"/>
    <w:rsid w:val="1C6C40F3"/>
    <w:rsid w:val="1C7E0123"/>
    <w:rsid w:val="1CD203FA"/>
    <w:rsid w:val="1D1327C1"/>
    <w:rsid w:val="1DC96420"/>
    <w:rsid w:val="1E4F5A7B"/>
    <w:rsid w:val="1E607AF3"/>
    <w:rsid w:val="1E6C2189"/>
    <w:rsid w:val="1E6F4637"/>
    <w:rsid w:val="1EAA2CB1"/>
    <w:rsid w:val="1EC07E44"/>
    <w:rsid w:val="1ED41ADC"/>
    <w:rsid w:val="1EEA12FF"/>
    <w:rsid w:val="1F264229"/>
    <w:rsid w:val="1F3A2287"/>
    <w:rsid w:val="1F62533A"/>
    <w:rsid w:val="1F6A2B6C"/>
    <w:rsid w:val="1F9574BD"/>
    <w:rsid w:val="1F9759FD"/>
    <w:rsid w:val="1F9A4AD4"/>
    <w:rsid w:val="1FB262C1"/>
    <w:rsid w:val="20884408"/>
    <w:rsid w:val="208E288A"/>
    <w:rsid w:val="20912498"/>
    <w:rsid w:val="20A43E5C"/>
    <w:rsid w:val="20D34741"/>
    <w:rsid w:val="212613B5"/>
    <w:rsid w:val="21911553"/>
    <w:rsid w:val="21A34113"/>
    <w:rsid w:val="21B82F2B"/>
    <w:rsid w:val="225B2C40"/>
    <w:rsid w:val="22A04AF7"/>
    <w:rsid w:val="22B60126"/>
    <w:rsid w:val="22C04851"/>
    <w:rsid w:val="22EE5862"/>
    <w:rsid w:val="22FD5903"/>
    <w:rsid w:val="233D0598"/>
    <w:rsid w:val="234611FA"/>
    <w:rsid w:val="23517B9F"/>
    <w:rsid w:val="237A49D6"/>
    <w:rsid w:val="2403533D"/>
    <w:rsid w:val="240F5A90"/>
    <w:rsid w:val="24334633"/>
    <w:rsid w:val="244874F9"/>
    <w:rsid w:val="24681644"/>
    <w:rsid w:val="24D53513"/>
    <w:rsid w:val="24DF6C66"/>
    <w:rsid w:val="251C4DA7"/>
    <w:rsid w:val="257638ED"/>
    <w:rsid w:val="257F4EED"/>
    <w:rsid w:val="25BF5294"/>
    <w:rsid w:val="25D02FFD"/>
    <w:rsid w:val="25F34F3E"/>
    <w:rsid w:val="25F55EDF"/>
    <w:rsid w:val="26040291"/>
    <w:rsid w:val="265B50F2"/>
    <w:rsid w:val="268564DD"/>
    <w:rsid w:val="26AD1590"/>
    <w:rsid w:val="26C54B2C"/>
    <w:rsid w:val="26CA1C81"/>
    <w:rsid w:val="27277595"/>
    <w:rsid w:val="273A5663"/>
    <w:rsid w:val="274421BB"/>
    <w:rsid w:val="276E51C4"/>
    <w:rsid w:val="277D0F63"/>
    <w:rsid w:val="27BC5C04"/>
    <w:rsid w:val="2810627B"/>
    <w:rsid w:val="28223750"/>
    <w:rsid w:val="28427C92"/>
    <w:rsid w:val="28E3573D"/>
    <w:rsid w:val="29635F7D"/>
    <w:rsid w:val="296A19BB"/>
    <w:rsid w:val="29A14289"/>
    <w:rsid w:val="29CC2C5F"/>
    <w:rsid w:val="2A210FF8"/>
    <w:rsid w:val="2A234200"/>
    <w:rsid w:val="2A420242"/>
    <w:rsid w:val="2AB56C65"/>
    <w:rsid w:val="2AEA2DB3"/>
    <w:rsid w:val="2B177920"/>
    <w:rsid w:val="2B1A2704"/>
    <w:rsid w:val="2B391645"/>
    <w:rsid w:val="2B3E6C5B"/>
    <w:rsid w:val="2B6227A6"/>
    <w:rsid w:val="2B8E7BE2"/>
    <w:rsid w:val="2BA12124"/>
    <w:rsid w:val="2BC058C2"/>
    <w:rsid w:val="2BE277F7"/>
    <w:rsid w:val="2BEE242F"/>
    <w:rsid w:val="2C3B319A"/>
    <w:rsid w:val="2DB41456"/>
    <w:rsid w:val="2E0028ED"/>
    <w:rsid w:val="2E13617D"/>
    <w:rsid w:val="2E3600BD"/>
    <w:rsid w:val="2E7D7A9A"/>
    <w:rsid w:val="2EB3170E"/>
    <w:rsid w:val="2F080C6F"/>
    <w:rsid w:val="2F5838B9"/>
    <w:rsid w:val="2F605BE8"/>
    <w:rsid w:val="2F6B3D97"/>
    <w:rsid w:val="2F822F4A"/>
    <w:rsid w:val="2FA84AF7"/>
    <w:rsid w:val="2FE53B49"/>
    <w:rsid w:val="2FF10740"/>
    <w:rsid w:val="30B11567"/>
    <w:rsid w:val="318850D4"/>
    <w:rsid w:val="31992E3D"/>
    <w:rsid w:val="31CC1105"/>
    <w:rsid w:val="31D0638C"/>
    <w:rsid w:val="31E43243"/>
    <w:rsid w:val="31FA3316"/>
    <w:rsid w:val="3255145A"/>
    <w:rsid w:val="32930B88"/>
    <w:rsid w:val="32D54349"/>
    <w:rsid w:val="338B0EAB"/>
    <w:rsid w:val="33A855B9"/>
    <w:rsid w:val="33C747D3"/>
    <w:rsid w:val="33E74334"/>
    <w:rsid w:val="343E1A7A"/>
    <w:rsid w:val="345E211C"/>
    <w:rsid w:val="34C44675"/>
    <w:rsid w:val="354237EC"/>
    <w:rsid w:val="35494B7A"/>
    <w:rsid w:val="355C2AFF"/>
    <w:rsid w:val="35661D78"/>
    <w:rsid w:val="357565D5"/>
    <w:rsid w:val="35AF70D3"/>
    <w:rsid w:val="35F25D9F"/>
    <w:rsid w:val="36A4475E"/>
    <w:rsid w:val="36A77DAA"/>
    <w:rsid w:val="36B3674F"/>
    <w:rsid w:val="36CE5337"/>
    <w:rsid w:val="37B704C1"/>
    <w:rsid w:val="37CB1876"/>
    <w:rsid w:val="380D00E1"/>
    <w:rsid w:val="384F4255"/>
    <w:rsid w:val="38575800"/>
    <w:rsid w:val="386F66A6"/>
    <w:rsid w:val="388A1E74"/>
    <w:rsid w:val="38E928FC"/>
    <w:rsid w:val="39003390"/>
    <w:rsid w:val="396226AE"/>
    <w:rsid w:val="39974106"/>
    <w:rsid w:val="39981C2C"/>
    <w:rsid w:val="39C46EC5"/>
    <w:rsid w:val="39CC0C92"/>
    <w:rsid w:val="39FC040D"/>
    <w:rsid w:val="39FE0CF5"/>
    <w:rsid w:val="3A43603C"/>
    <w:rsid w:val="3A4A1178"/>
    <w:rsid w:val="3A52002D"/>
    <w:rsid w:val="3A52627F"/>
    <w:rsid w:val="3A7867B6"/>
    <w:rsid w:val="3A992100"/>
    <w:rsid w:val="3AD60C5E"/>
    <w:rsid w:val="3AF44B12"/>
    <w:rsid w:val="3B02765D"/>
    <w:rsid w:val="3B181276"/>
    <w:rsid w:val="3B4402BD"/>
    <w:rsid w:val="3B7641EF"/>
    <w:rsid w:val="3B7A5439"/>
    <w:rsid w:val="3B875669"/>
    <w:rsid w:val="3BDE42DB"/>
    <w:rsid w:val="3C0D6901"/>
    <w:rsid w:val="3CE27D8E"/>
    <w:rsid w:val="3CF44601"/>
    <w:rsid w:val="3D023F8C"/>
    <w:rsid w:val="3D22018A"/>
    <w:rsid w:val="3D2A5291"/>
    <w:rsid w:val="3D2F0AF9"/>
    <w:rsid w:val="3DBA6615"/>
    <w:rsid w:val="3DBF00CF"/>
    <w:rsid w:val="3DFF227A"/>
    <w:rsid w:val="3E5C2CED"/>
    <w:rsid w:val="3E6B790F"/>
    <w:rsid w:val="3E8712EB"/>
    <w:rsid w:val="3ED64BAA"/>
    <w:rsid w:val="3EE85404"/>
    <w:rsid w:val="3F384C13"/>
    <w:rsid w:val="3F4A5777"/>
    <w:rsid w:val="3FC83F4E"/>
    <w:rsid w:val="3FEB7EDE"/>
    <w:rsid w:val="403A1C8F"/>
    <w:rsid w:val="40414DCB"/>
    <w:rsid w:val="40E4349D"/>
    <w:rsid w:val="41322966"/>
    <w:rsid w:val="41395AA3"/>
    <w:rsid w:val="41411374"/>
    <w:rsid w:val="415B1EBD"/>
    <w:rsid w:val="41792343"/>
    <w:rsid w:val="42073DF3"/>
    <w:rsid w:val="421B164C"/>
    <w:rsid w:val="42276243"/>
    <w:rsid w:val="422C5209"/>
    <w:rsid w:val="42402E61"/>
    <w:rsid w:val="429A4C67"/>
    <w:rsid w:val="42A17DA3"/>
    <w:rsid w:val="42CE4911"/>
    <w:rsid w:val="42CF2B62"/>
    <w:rsid w:val="42D62532"/>
    <w:rsid w:val="431E7646"/>
    <w:rsid w:val="433C5D1E"/>
    <w:rsid w:val="43801E9A"/>
    <w:rsid w:val="438576C5"/>
    <w:rsid w:val="43C57AC2"/>
    <w:rsid w:val="43D85DD8"/>
    <w:rsid w:val="43E97C54"/>
    <w:rsid w:val="43EF4B3E"/>
    <w:rsid w:val="446E50C0"/>
    <w:rsid w:val="44A92F3F"/>
    <w:rsid w:val="452D3B70"/>
    <w:rsid w:val="457E617A"/>
    <w:rsid w:val="45D8238B"/>
    <w:rsid w:val="4638531A"/>
    <w:rsid w:val="466C2476"/>
    <w:rsid w:val="467001B9"/>
    <w:rsid w:val="468E6891"/>
    <w:rsid w:val="46A0421C"/>
    <w:rsid w:val="46DD586B"/>
    <w:rsid w:val="47022DDB"/>
    <w:rsid w:val="473B735A"/>
    <w:rsid w:val="476870E2"/>
    <w:rsid w:val="47A85730"/>
    <w:rsid w:val="47BB1907"/>
    <w:rsid w:val="47E66258"/>
    <w:rsid w:val="48455675"/>
    <w:rsid w:val="484A2C8B"/>
    <w:rsid w:val="48684EBF"/>
    <w:rsid w:val="486A50DB"/>
    <w:rsid w:val="48904B42"/>
    <w:rsid w:val="4923511F"/>
    <w:rsid w:val="493C4382"/>
    <w:rsid w:val="49830203"/>
    <w:rsid w:val="49AB775A"/>
    <w:rsid w:val="49E0061D"/>
    <w:rsid w:val="49E35145"/>
    <w:rsid w:val="49EC2FE3"/>
    <w:rsid w:val="4A392FB7"/>
    <w:rsid w:val="4A472CFA"/>
    <w:rsid w:val="4A535445"/>
    <w:rsid w:val="4A6A4F1F"/>
    <w:rsid w:val="4A7933B4"/>
    <w:rsid w:val="4A7A7858"/>
    <w:rsid w:val="4A9D52F4"/>
    <w:rsid w:val="4ACE1952"/>
    <w:rsid w:val="4AD4683C"/>
    <w:rsid w:val="4B157580"/>
    <w:rsid w:val="4B271062"/>
    <w:rsid w:val="4B3612A5"/>
    <w:rsid w:val="4B3726A8"/>
    <w:rsid w:val="4B531E57"/>
    <w:rsid w:val="4B8E10E1"/>
    <w:rsid w:val="4BF52F0E"/>
    <w:rsid w:val="4C2C4B82"/>
    <w:rsid w:val="4C8229F4"/>
    <w:rsid w:val="4C8F3363"/>
    <w:rsid w:val="4C9D15DC"/>
    <w:rsid w:val="4CA54934"/>
    <w:rsid w:val="4D037CA3"/>
    <w:rsid w:val="4DBC1F35"/>
    <w:rsid w:val="4DE80F7C"/>
    <w:rsid w:val="4E3B72FE"/>
    <w:rsid w:val="4E5C54C6"/>
    <w:rsid w:val="4EDC43B4"/>
    <w:rsid w:val="4F302BDB"/>
    <w:rsid w:val="4F6208BA"/>
    <w:rsid w:val="50256DEC"/>
    <w:rsid w:val="5032028D"/>
    <w:rsid w:val="50357D7D"/>
    <w:rsid w:val="50642410"/>
    <w:rsid w:val="508605D9"/>
    <w:rsid w:val="50D91050"/>
    <w:rsid w:val="50FB4B23"/>
    <w:rsid w:val="51025EB1"/>
    <w:rsid w:val="51121E6C"/>
    <w:rsid w:val="5147420C"/>
    <w:rsid w:val="52285DEB"/>
    <w:rsid w:val="524C3D9F"/>
    <w:rsid w:val="524E3378"/>
    <w:rsid w:val="52AE4E21"/>
    <w:rsid w:val="52B94C95"/>
    <w:rsid w:val="52D40254"/>
    <w:rsid w:val="52EA12F3"/>
    <w:rsid w:val="52F757BE"/>
    <w:rsid w:val="5373753A"/>
    <w:rsid w:val="5382152B"/>
    <w:rsid w:val="53A07D85"/>
    <w:rsid w:val="53A72D40"/>
    <w:rsid w:val="53CE29C2"/>
    <w:rsid w:val="542E520F"/>
    <w:rsid w:val="54E3249D"/>
    <w:rsid w:val="54EF2BF0"/>
    <w:rsid w:val="55081F04"/>
    <w:rsid w:val="551C775D"/>
    <w:rsid w:val="55366A71"/>
    <w:rsid w:val="557F21C6"/>
    <w:rsid w:val="55B6370E"/>
    <w:rsid w:val="5604091D"/>
    <w:rsid w:val="561A3C9D"/>
    <w:rsid w:val="562F7AA7"/>
    <w:rsid w:val="56310FE7"/>
    <w:rsid w:val="56652AE9"/>
    <w:rsid w:val="568850AA"/>
    <w:rsid w:val="56CE6835"/>
    <w:rsid w:val="56EC1543"/>
    <w:rsid w:val="57076A09"/>
    <w:rsid w:val="57106E4E"/>
    <w:rsid w:val="57120E18"/>
    <w:rsid w:val="5749474A"/>
    <w:rsid w:val="574B7E86"/>
    <w:rsid w:val="58847AF3"/>
    <w:rsid w:val="58FA1EED"/>
    <w:rsid w:val="591C1ADA"/>
    <w:rsid w:val="594C6863"/>
    <w:rsid w:val="59926240"/>
    <w:rsid w:val="5A1B6236"/>
    <w:rsid w:val="5A647BDD"/>
    <w:rsid w:val="5A9A53AC"/>
    <w:rsid w:val="5B0647F0"/>
    <w:rsid w:val="5B152C85"/>
    <w:rsid w:val="5B182775"/>
    <w:rsid w:val="5B1A64ED"/>
    <w:rsid w:val="5B215ACE"/>
    <w:rsid w:val="5B9E0ECC"/>
    <w:rsid w:val="5BC052E6"/>
    <w:rsid w:val="5BF8682E"/>
    <w:rsid w:val="5BFF58E6"/>
    <w:rsid w:val="5C02145B"/>
    <w:rsid w:val="5C2515ED"/>
    <w:rsid w:val="5C3B496D"/>
    <w:rsid w:val="5C732359"/>
    <w:rsid w:val="5C776994"/>
    <w:rsid w:val="5CE96177"/>
    <w:rsid w:val="5CF35248"/>
    <w:rsid w:val="5D26561D"/>
    <w:rsid w:val="5D6E48CE"/>
    <w:rsid w:val="5D8A795A"/>
    <w:rsid w:val="5DB6074F"/>
    <w:rsid w:val="5DB94316"/>
    <w:rsid w:val="5DC32E6C"/>
    <w:rsid w:val="5DDE1A54"/>
    <w:rsid w:val="5E27164D"/>
    <w:rsid w:val="5E5558DC"/>
    <w:rsid w:val="5E6D1EF9"/>
    <w:rsid w:val="5E993BCD"/>
    <w:rsid w:val="5ED15115"/>
    <w:rsid w:val="5F074FDA"/>
    <w:rsid w:val="5F530220"/>
    <w:rsid w:val="5F582114"/>
    <w:rsid w:val="5F926F9A"/>
    <w:rsid w:val="5F9C1BC7"/>
    <w:rsid w:val="5FC7BE1D"/>
    <w:rsid w:val="603E2C7E"/>
    <w:rsid w:val="60583D40"/>
    <w:rsid w:val="60D3786A"/>
    <w:rsid w:val="60F530CE"/>
    <w:rsid w:val="61475B62"/>
    <w:rsid w:val="61A1502D"/>
    <w:rsid w:val="61C64CD9"/>
    <w:rsid w:val="61D41A82"/>
    <w:rsid w:val="61EB6306"/>
    <w:rsid w:val="6247406C"/>
    <w:rsid w:val="62564573"/>
    <w:rsid w:val="629923ED"/>
    <w:rsid w:val="62F31BF5"/>
    <w:rsid w:val="6320666B"/>
    <w:rsid w:val="63275150"/>
    <w:rsid w:val="632C14B3"/>
    <w:rsid w:val="63892462"/>
    <w:rsid w:val="63E61662"/>
    <w:rsid w:val="64103515"/>
    <w:rsid w:val="645A795A"/>
    <w:rsid w:val="647153D0"/>
    <w:rsid w:val="649E1F3D"/>
    <w:rsid w:val="64AA4AE5"/>
    <w:rsid w:val="64B33C3A"/>
    <w:rsid w:val="64C412CF"/>
    <w:rsid w:val="650E2BD2"/>
    <w:rsid w:val="65295CAB"/>
    <w:rsid w:val="65567BE9"/>
    <w:rsid w:val="65A5543E"/>
    <w:rsid w:val="65F067C8"/>
    <w:rsid w:val="65F55B8D"/>
    <w:rsid w:val="668D4017"/>
    <w:rsid w:val="66B338BD"/>
    <w:rsid w:val="66D47E98"/>
    <w:rsid w:val="67486190"/>
    <w:rsid w:val="675F3C06"/>
    <w:rsid w:val="67B97DE6"/>
    <w:rsid w:val="68030A35"/>
    <w:rsid w:val="6874548F"/>
    <w:rsid w:val="68D51CA5"/>
    <w:rsid w:val="693D7F76"/>
    <w:rsid w:val="69692B1A"/>
    <w:rsid w:val="699D0A15"/>
    <w:rsid w:val="69AA3132"/>
    <w:rsid w:val="69FA5E67"/>
    <w:rsid w:val="6A002D52"/>
    <w:rsid w:val="6A2D182B"/>
    <w:rsid w:val="6A413A96"/>
    <w:rsid w:val="6A5F4F1A"/>
    <w:rsid w:val="6AC36259"/>
    <w:rsid w:val="6AD466B8"/>
    <w:rsid w:val="6B4750DC"/>
    <w:rsid w:val="6B596BBE"/>
    <w:rsid w:val="6B715CB5"/>
    <w:rsid w:val="6BEE4E01"/>
    <w:rsid w:val="6BEE7306"/>
    <w:rsid w:val="6C0C471C"/>
    <w:rsid w:val="6CF941B4"/>
    <w:rsid w:val="6CFA1CDB"/>
    <w:rsid w:val="6D3C0545"/>
    <w:rsid w:val="6D3C22F3"/>
    <w:rsid w:val="6D594C53"/>
    <w:rsid w:val="6D5E2269"/>
    <w:rsid w:val="6D9D70CE"/>
    <w:rsid w:val="6E4E6782"/>
    <w:rsid w:val="6E565636"/>
    <w:rsid w:val="6EF32E85"/>
    <w:rsid w:val="6EF33B5A"/>
    <w:rsid w:val="6EFD5AB2"/>
    <w:rsid w:val="6F3E67F6"/>
    <w:rsid w:val="6F9E7295"/>
    <w:rsid w:val="6F9F262E"/>
    <w:rsid w:val="6FAC3760"/>
    <w:rsid w:val="6FD41D57"/>
    <w:rsid w:val="6FE50A20"/>
    <w:rsid w:val="6FF9271D"/>
    <w:rsid w:val="702418DD"/>
    <w:rsid w:val="705D2CAC"/>
    <w:rsid w:val="7080699B"/>
    <w:rsid w:val="70B054D2"/>
    <w:rsid w:val="70C76378"/>
    <w:rsid w:val="70D2369A"/>
    <w:rsid w:val="71063344"/>
    <w:rsid w:val="711B695E"/>
    <w:rsid w:val="71573B9F"/>
    <w:rsid w:val="716D6F1F"/>
    <w:rsid w:val="71922E29"/>
    <w:rsid w:val="719312A0"/>
    <w:rsid w:val="71B821DC"/>
    <w:rsid w:val="72037883"/>
    <w:rsid w:val="725954FD"/>
    <w:rsid w:val="72712A3F"/>
    <w:rsid w:val="72BF009F"/>
    <w:rsid w:val="72D27981"/>
    <w:rsid w:val="72F0605A"/>
    <w:rsid w:val="72F21DD2"/>
    <w:rsid w:val="734939BC"/>
    <w:rsid w:val="73577E87"/>
    <w:rsid w:val="73A429A0"/>
    <w:rsid w:val="73A62BBC"/>
    <w:rsid w:val="73B928EF"/>
    <w:rsid w:val="740A4EF9"/>
    <w:rsid w:val="74235FBB"/>
    <w:rsid w:val="74806D71"/>
    <w:rsid w:val="74A0585D"/>
    <w:rsid w:val="74D13C69"/>
    <w:rsid w:val="750F338B"/>
    <w:rsid w:val="75120509"/>
    <w:rsid w:val="75194E37"/>
    <w:rsid w:val="7545024E"/>
    <w:rsid w:val="755E374E"/>
    <w:rsid w:val="759E1D9D"/>
    <w:rsid w:val="760360A4"/>
    <w:rsid w:val="76206C56"/>
    <w:rsid w:val="76377AFB"/>
    <w:rsid w:val="76941C03"/>
    <w:rsid w:val="77752FD1"/>
    <w:rsid w:val="77DC4DFE"/>
    <w:rsid w:val="77FE4D75"/>
    <w:rsid w:val="787772DE"/>
    <w:rsid w:val="789045CC"/>
    <w:rsid w:val="78994A9D"/>
    <w:rsid w:val="791B1956"/>
    <w:rsid w:val="79297BCF"/>
    <w:rsid w:val="793D18CD"/>
    <w:rsid w:val="795804B5"/>
    <w:rsid w:val="79E87A8A"/>
    <w:rsid w:val="79F226B7"/>
    <w:rsid w:val="79F93A46"/>
    <w:rsid w:val="7A4B0019"/>
    <w:rsid w:val="7A571ACA"/>
    <w:rsid w:val="7ACC2F08"/>
    <w:rsid w:val="7B0703E4"/>
    <w:rsid w:val="7B3A2568"/>
    <w:rsid w:val="7B537186"/>
    <w:rsid w:val="7B6F1AE6"/>
    <w:rsid w:val="7C1E7B86"/>
    <w:rsid w:val="7C5036C5"/>
    <w:rsid w:val="7C5C4760"/>
    <w:rsid w:val="7C7C2B15"/>
    <w:rsid w:val="7C7E2011"/>
    <w:rsid w:val="7CE04A49"/>
    <w:rsid w:val="7D0C7F34"/>
    <w:rsid w:val="7D0E5A5A"/>
    <w:rsid w:val="7D4612E8"/>
    <w:rsid w:val="7D4702B8"/>
    <w:rsid w:val="7D515947"/>
    <w:rsid w:val="7DA242A0"/>
    <w:rsid w:val="7DA57A41"/>
    <w:rsid w:val="7DC73E5B"/>
    <w:rsid w:val="7DCF007D"/>
    <w:rsid w:val="7E2A628E"/>
    <w:rsid w:val="7E461224"/>
    <w:rsid w:val="7E525E1A"/>
    <w:rsid w:val="7EB5A4AC"/>
    <w:rsid w:val="7ECF3F76"/>
    <w:rsid w:val="7F304961"/>
    <w:rsid w:val="7FD0349B"/>
    <w:rsid w:val="7FDFDA99"/>
    <w:rsid w:val="7FEC1957"/>
    <w:rsid w:val="BF8FBD23"/>
    <w:rsid w:val="BFEE8860"/>
    <w:rsid w:val="D6B111EF"/>
    <w:rsid w:val="DEE7B427"/>
    <w:rsid w:val="EDFF8E54"/>
    <w:rsid w:val="EF7BC960"/>
    <w:rsid w:val="EFEF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ind w:firstLine="0"/>
      <w:outlineLvl w:val="3"/>
    </w:pPr>
    <w:rPr>
      <w:rFonts w:ascii="Arial" w:hAnsi="Arial"/>
      <w:b/>
      <w:bCs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9">
    <w:name w:val="Body Text First Indent 2"/>
    <w:basedOn w:val="5"/>
    <w:qFormat/>
    <w:uiPriority w:val="0"/>
    <w:pPr>
      <w:spacing w:after="0"/>
      <w:ind w:left="562" w:leftChars="0"/>
    </w:pPr>
    <w:rPr>
      <w:kern w:val="0"/>
    </w:rPr>
  </w:style>
  <w:style w:type="paragraph" w:customStyle="1" w:styleId="12">
    <w:name w:val="一般正文"/>
    <w:basedOn w:val="1"/>
    <w:qFormat/>
    <w:uiPriority w:val="0"/>
    <w:pPr>
      <w:spacing w:line="560" w:lineRule="exact"/>
      <w:ind w:firstLine="560" w:firstLineChars="200"/>
    </w:pPr>
    <w:rPr>
      <w:rFonts w:eastAsia="仿宋_GB2312"/>
      <w:sz w:val="32"/>
      <w:szCs w:val="28"/>
    </w:rPr>
  </w:style>
  <w:style w:type="character" w:customStyle="1" w:styleId="13">
    <w:name w:val="页眉 Char"/>
    <w:basedOn w:val="11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F8EBE-DAC4-44D1-B8E7-AF6CA578D5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17</Pages>
  <Words>6720</Words>
  <Characters>8032</Characters>
  <Lines>84</Lines>
  <Paragraphs>23</Paragraphs>
  <TotalTime>330</TotalTime>
  <ScaleCrop>false</ScaleCrop>
  <LinksUpToDate>false</LinksUpToDate>
  <CharactersWithSpaces>8036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2025-07-14T16:48:00Z</dcterms:created>
  <dc:creator>╰⊱⋛⋋ ⋌⋚⊰╯</dc:creator>
  <cp:lastModifiedBy>UOS</cp:lastModifiedBy>
  <cp:lastPrinted>2026-08-26T23:07:00Z</cp:lastPrinted>
  <dcterms:modified xsi:type="dcterms:W3CDTF">2026-08-26T16:22:22Z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A7DD15C995906EE9EF958E6A57F66E04_43</vt:lpwstr>
  </property>
  <property fmtid="{D5CDD505-2E9C-101B-9397-08002B2CF9AE}" pid="4" name="KSOTemplateDocerSaveRecord">
    <vt:lpwstr>eyJoZGlkIjoiMzkwNDI1ZmM0YWQ1NjEyNzBmNzFmYmI0ZmYwNGU2NzgiLCJ1c2VySWQiOiIyNjg2MTM0NTUifQ==</vt:lpwstr>
  </property>
</Properties>
</file>