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r>
        <w:rPr>
          <w:rFonts w:hint="eastAsia" w:ascii="宋体" w:hAnsi="宋体"/>
          <w:b/>
          <w:sz w:val="36"/>
          <w:szCs w:val="36"/>
          <w:lang w:eastAsia="zh-CN"/>
        </w:rPr>
        <w:t>淮南市潘集工程技术中等专业学校202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555D5DE0">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30"/>
        <w:gridCol w:w="930"/>
        <w:gridCol w:w="430"/>
        <w:gridCol w:w="930"/>
        <w:gridCol w:w="930"/>
        <w:gridCol w:w="932"/>
        <w:gridCol w:w="430"/>
        <w:gridCol w:w="930"/>
        <w:gridCol w:w="430"/>
        <w:gridCol w:w="754"/>
        <w:gridCol w:w="935"/>
        <w:gridCol w:w="942"/>
      </w:tblGrid>
      <w:tr w14:paraId="704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0" w:hRule="atLeast"/>
        </w:trPr>
        <w:tc>
          <w:tcPr>
            <w:tcW w:w="5000" w:type="pct"/>
            <w:gridSpan w:val="12"/>
            <w:tcBorders>
              <w:top w:val="nil"/>
              <w:left w:val="nil"/>
              <w:bottom w:val="nil"/>
              <w:right w:val="nil"/>
            </w:tcBorders>
            <w:shd w:val="clear"/>
            <w:vAlign w:val="center"/>
          </w:tcPr>
          <w:p w14:paraId="621B16EF">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bdr w:val="none" w:color="auto" w:sz="0" w:space="0"/>
                <w:lang w:val="en-US" w:eastAsia="zh-CN" w:bidi="ar"/>
              </w:rPr>
              <w:t>一般公共预算财政拨款“三公”经费支出决算表</w:t>
            </w:r>
          </w:p>
        </w:tc>
      </w:tr>
      <w:tr w14:paraId="709D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tcBorders>
              <w:top w:val="nil"/>
              <w:left w:val="nil"/>
              <w:bottom w:val="nil"/>
              <w:right w:val="nil"/>
            </w:tcBorders>
            <w:shd w:val="clear"/>
            <w:vAlign w:val="center"/>
          </w:tcPr>
          <w:p w14:paraId="7E5C851E">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vAlign w:val="center"/>
          </w:tcPr>
          <w:p w14:paraId="545B5B07">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vAlign w:val="center"/>
          </w:tcPr>
          <w:p w14:paraId="0C40DD27">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vAlign w:val="center"/>
          </w:tcPr>
          <w:p w14:paraId="1DD86EE0">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vAlign w:val="center"/>
          </w:tcPr>
          <w:p w14:paraId="4027592A">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vAlign w:val="center"/>
          </w:tcPr>
          <w:p w14:paraId="383DBDF9">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vAlign w:val="center"/>
          </w:tcPr>
          <w:p w14:paraId="4F7076DD">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vAlign w:val="center"/>
          </w:tcPr>
          <w:p w14:paraId="40C9B53A">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vAlign w:val="center"/>
          </w:tcPr>
          <w:p w14:paraId="21FCE00B">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vAlign w:val="center"/>
          </w:tcPr>
          <w:p w14:paraId="21190A27">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vAlign w:val="bottom"/>
          </w:tcPr>
          <w:p w14:paraId="68133B21">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公开09表</w:t>
            </w:r>
          </w:p>
        </w:tc>
      </w:tr>
      <w:tr w14:paraId="1B98E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9" w:type="pct"/>
            <w:gridSpan w:val="3"/>
            <w:tcBorders>
              <w:top w:val="nil"/>
              <w:left w:val="nil"/>
              <w:bottom w:val="nil"/>
              <w:right w:val="nil"/>
            </w:tcBorders>
            <w:shd w:val="clear"/>
            <w:vAlign w:val="bottom"/>
          </w:tcPr>
          <w:p w14:paraId="2222C107">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bookmarkStart w:id="0" w:name="_GoBack" w:colFirst="4" w:colLast="4"/>
            <w:r>
              <w:rPr>
                <w:rFonts w:hint="eastAsia" w:ascii="宋体" w:hAnsi="宋体" w:eastAsia="宋体" w:cs="宋体"/>
                <w:i w:val="0"/>
                <w:iCs w:val="0"/>
                <w:color w:val="000000"/>
                <w:kern w:val="0"/>
                <w:sz w:val="20"/>
                <w:szCs w:val="20"/>
                <w:u w:val="none"/>
                <w:bdr w:val="none" w:color="auto" w:sz="0" w:space="0"/>
                <w:lang w:val="en-US" w:eastAsia="zh-CN" w:bidi="ar"/>
              </w:rPr>
              <w:t>部门：淮南市潘集工程技术中等专业学校</w:t>
            </w:r>
          </w:p>
        </w:tc>
        <w:tc>
          <w:tcPr>
            <w:tcW w:w="522" w:type="pct"/>
            <w:tcBorders>
              <w:top w:val="nil"/>
              <w:left w:val="nil"/>
              <w:bottom w:val="nil"/>
              <w:right w:val="nil"/>
            </w:tcBorders>
            <w:shd w:val="clear"/>
            <w:vAlign w:val="center"/>
          </w:tcPr>
          <w:p w14:paraId="635CDD0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vAlign w:val="center"/>
          </w:tcPr>
          <w:p w14:paraId="15B151E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vAlign w:val="center"/>
          </w:tcPr>
          <w:p w14:paraId="59EAD93E">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vAlign w:val="center"/>
          </w:tcPr>
          <w:p w14:paraId="6E000196">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vAlign w:val="center"/>
          </w:tcPr>
          <w:p w14:paraId="6C248973">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vAlign w:val="center"/>
          </w:tcPr>
          <w:p w14:paraId="69102FCF">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vAlign w:val="center"/>
          </w:tcPr>
          <w:p w14:paraId="46644E5A">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vAlign w:val="bottom"/>
          </w:tcPr>
          <w:p w14:paraId="4B06D1E8">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金额单位：万元</w:t>
            </w:r>
          </w:p>
        </w:tc>
      </w:tr>
      <w:bookmarkEnd w:id="0"/>
      <w:tr w14:paraId="623FA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2546" w:type="pct"/>
            <w:gridSpan w:val="6"/>
            <w:tcBorders>
              <w:top w:val="single" w:color="D4D4D4" w:sz="4" w:space="0"/>
              <w:left w:val="single" w:color="D4D4D4" w:sz="4" w:space="0"/>
              <w:bottom w:val="single" w:color="D4D4D4" w:sz="4" w:space="0"/>
              <w:right w:val="single" w:color="D4D4D4" w:sz="4" w:space="0"/>
            </w:tcBorders>
            <w:shd w:val="clear"/>
            <w:vAlign w:val="center"/>
          </w:tcPr>
          <w:p w14:paraId="47564F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预算数</w:t>
            </w:r>
          </w:p>
        </w:tc>
        <w:tc>
          <w:tcPr>
            <w:tcW w:w="2453" w:type="pct"/>
            <w:gridSpan w:val="6"/>
            <w:tcBorders>
              <w:top w:val="single" w:color="D4D4D4" w:sz="4" w:space="0"/>
              <w:left w:val="single" w:color="D4D4D4" w:sz="4" w:space="0"/>
              <w:bottom w:val="single" w:color="D4D4D4" w:sz="4" w:space="0"/>
              <w:right w:val="single" w:color="D4D4D4" w:sz="4" w:space="0"/>
            </w:tcBorders>
            <w:shd w:val="clear"/>
            <w:vAlign w:val="center"/>
          </w:tcPr>
          <w:p w14:paraId="36898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决算数</w:t>
            </w:r>
          </w:p>
        </w:tc>
      </w:tr>
      <w:tr w14:paraId="24F70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8" w:type="pct"/>
            <w:vMerge w:val="restart"/>
            <w:tcBorders>
              <w:top w:val="single" w:color="D4D4D4" w:sz="4" w:space="0"/>
              <w:left w:val="single" w:color="D4D4D4" w:sz="4" w:space="0"/>
              <w:bottom w:val="single" w:color="D4D4D4" w:sz="4" w:space="0"/>
              <w:right w:val="single" w:color="D4D4D4" w:sz="4" w:space="0"/>
            </w:tcBorders>
            <w:shd w:val="clear"/>
            <w:vAlign w:val="center"/>
          </w:tcPr>
          <w:p w14:paraId="74C29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vAlign w:val="center"/>
          </w:tcPr>
          <w:p w14:paraId="3E373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因公出</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国（境）费</w:t>
            </w:r>
          </w:p>
        </w:tc>
        <w:tc>
          <w:tcPr>
            <w:tcW w:w="1273" w:type="pct"/>
            <w:gridSpan w:val="3"/>
            <w:tcBorders>
              <w:top w:val="single" w:color="D4D4D4" w:sz="4" w:space="0"/>
              <w:left w:val="single" w:color="D4D4D4" w:sz="4" w:space="0"/>
              <w:bottom w:val="single" w:color="D4D4D4" w:sz="4" w:space="0"/>
              <w:right w:val="single" w:color="D4D4D4" w:sz="4" w:space="0"/>
            </w:tcBorders>
            <w:shd w:val="clear"/>
            <w:vAlign w:val="center"/>
          </w:tcPr>
          <w:p w14:paraId="481F88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公务用车购置及运行维护费</w:t>
            </w:r>
          </w:p>
        </w:tc>
        <w:tc>
          <w:tcPr>
            <w:tcW w:w="522" w:type="pct"/>
            <w:vMerge w:val="restart"/>
            <w:tcBorders>
              <w:top w:val="single" w:color="D4D4D4" w:sz="4" w:space="0"/>
              <w:left w:val="single" w:color="D4D4D4" w:sz="4" w:space="0"/>
              <w:bottom w:val="single" w:color="D4D4D4" w:sz="4" w:space="0"/>
              <w:right w:val="single" w:color="D4D4D4" w:sz="4" w:space="0"/>
            </w:tcBorders>
            <w:shd w:val="clear"/>
            <w:vAlign w:val="center"/>
          </w:tcPr>
          <w:p w14:paraId="22B90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公务接待费</w:t>
            </w:r>
          </w:p>
        </w:tc>
        <w:tc>
          <w:tcPr>
            <w:tcW w:w="228" w:type="pct"/>
            <w:vMerge w:val="restart"/>
            <w:tcBorders>
              <w:top w:val="single" w:color="D4D4D4" w:sz="4" w:space="0"/>
              <w:left w:val="single" w:color="D4D4D4" w:sz="4" w:space="0"/>
              <w:bottom w:val="single" w:color="D4D4D4" w:sz="4" w:space="0"/>
              <w:right w:val="single" w:color="D4D4D4" w:sz="4" w:space="0"/>
            </w:tcBorders>
            <w:shd w:val="clear"/>
            <w:vAlign w:val="center"/>
          </w:tcPr>
          <w:p w14:paraId="557D86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vAlign w:val="center"/>
          </w:tcPr>
          <w:p w14:paraId="68A85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因公出</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国（境）费</w:t>
            </w:r>
          </w:p>
        </w:tc>
        <w:tc>
          <w:tcPr>
            <w:tcW w:w="1176" w:type="pct"/>
            <w:gridSpan w:val="3"/>
            <w:tcBorders>
              <w:top w:val="single" w:color="D4D4D4" w:sz="4" w:space="0"/>
              <w:left w:val="single" w:color="D4D4D4" w:sz="4" w:space="0"/>
              <w:bottom w:val="single" w:color="D4D4D4" w:sz="4" w:space="0"/>
              <w:right w:val="single" w:color="D4D4D4" w:sz="4" w:space="0"/>
            </w:tcBorders>
            <w:shd w:val="clear"/>
            <w:vAlign w:val="center"/>
          </w:tcPr>
          <w:p w14:paraId="381008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公务用车购置及运行维护费</w:t>
            </w:r>
          </w:p>
        </w:tc>
        <w:tc>
          <w:tcPr>
            <w:tcW w:w="525" w:type="pct"/>
            <w:vMerge w:val="restart"/>
            <w:tcBorders>
              <w:top w:val="single" w:color="D4D4D4" w:sz="4" w:space="0"/>
              <w:left w:val="single" w:color="D4D4D4" w:sz="4" w:space="0"/>
              <w:bottom w:val="single" w:color="D4D4D4" w:sz="4" w:space="0"/>
              <w:right w:val="single" w:color="D4D4D4" w:sz="4" w:space="0"/>
            </w:tcBorders>
            <w:shd w:val="clear"/>
            <w:vAlign w:val="center"/>
          </w:tcPr>
          <w:p w14:paraId="57048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公务接待费</w:t>
            </w:r>
          </w:p>
        </w:tc>
      </w:tr>
      <w:tr w14:paraId="6B226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8" w:type="pct"/>
            <w:vMerge w:val="continue"/>
            <w:tcBorders>
              <w:top w:val="single" w:color="D4D4D4" w:sz="4" w:space="0"/>
              <w:left w:val="single" w:color="D4D4D4" w:sz="4" w:space="0"/>
              <w:bottom w:val="single" w:color="D4D4D4" w:sz="4" w:space="0"/>
              <w:right w:val="single" w:color="D4D4D4" w:sz="4" w:space="0"/>
            </w:tcBorders>
            <w:shd w:val="clear"/>
            <w:vAlign w:val="center"/>
          </w:tcPr>
          <w:p w14:paraId="2122EECA">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vAlign w:val="center"/>
          </w:tcPr>
          <w:p w14:paraId="58DEFD11">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vAlign w:val="center"/>
          </w:tcPr>
          <w:p w14:paraId="4E1C0F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小计</w:t>
            </w:r>
          </w:p>
        </w:tc>
        <w:tc>
          <w:tcPr>
            <w:tcW w:w="522" w:type="pct"/>
            <w:tcBorders>
              <w:top w:val="single" w:color="D4D4D4" w:sz="4" w:space="0"/>
              <w:left w:val="single" w:color="D4D4D4" w:sz="4" w:space="0"/>
              <w:bottom w:val="single" w:color="D4D4D4" w:sz="4" w:space="0"/>
              <w:right w:val="single" w:color="D4D4D4" w:sz="4" w:space="0"/>
            </w:tcBorders>
            <w:shd w:val="clear"/>
            <w:vAlign w:val="center"/>
          </w:tcPr>
          <w:p w14:paraId="11C54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公务用车购置费</w:t>
            </w:r>
          </w:p>
        </w:tc>
        <w:tc>
          <w:tcPr>
            <w:tcW w:w="522" w:type="pct"/>
            <w:tcBorders>
              <w:top w:val="single" w:color="D4D4D4" w:sz="4" w:space="0"/>
              <w:left w:val="single" w:color="D4D4D4" w:sz="4" w:space="0"/>
              <w:bottom w:val="single" w:color="D4D4D4" w:sz="4" w:space="0"/>
              <w:right w:val="single" w:color="D4D4D4" w:sz="4" w:space="0"/>
            </w:tcBorders>
            <w:shd w:val="clear"/>
            <w:vAlign w:val="center"/>
          </w:tcPr>
          <w:p w14:paraId="6E774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公务用车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运行维护费</w:t>
            </w:r>
          </w:p>
        </w:tc>
        <w:tc>
          <w:tcPr>
            <w:tcW w:w="522" w:type="pct"/>
            <w:vMerge w:val="continue"/>
            <w:tcBorders>
              <w:top w:val="single" w:color="D4D4D4" w:sz="4" w:space="0"/>
              <w:left w:val="single" w:color="D4D4D4" w:sz="4" w:space="0"/>
              <w:bottom w:val="single" w:color="D4D4D4" w:sz="4" w:space="0"/>
              <w:right w:val="single" w:color="D4D4D4" w:sz="4" w:space="0"/>
            </w:tcBorders>
            <w:shd w:val="clear"/>
            <w:vAlign w:val="center"/>
          </w:tcPr>
          <w:p w14:paraId="502F8F86">
            <w:pPr>
              <w:jc w:val="center"/>
              <w:rPr>
                <w:rFonts w:hint="eastAsia" w:ascii="宋体" w:hAnsi="宋体" w:eastAsia="宋体" w:cs="宋体"/>
                <w:i w:val="0"/>
                <w:iCs w:val="0"/>
                <w:color w:val="000000"/>
                <w:sz w:val="22"/>
                <w:szCs w:val="22"/>
                <w:u w:val="none"/>
              </w:rPr>
            </w:pPr>
          </w:p>
        </w:tc>
        <w:tc>
          <w:tcPr>
            <w:tcW w:w="228" w:type="pct"/>
            <w:vMerge w:val="continue"/>
            <w:tcBorders>
              <w:top w:val="single" w:color="D4D4D4" w:sz="4" w:space="0"/>
              <w:left w:val="single" w:color="D4D4D4" w:sz="4" w:space="0"/>
              <w:bottom w:val="single" w:color="D4D4D4" w:sz="4" w:space="0"/>
              <w:right w:val="single" w:color="D4D4D4" w:sz="4" w:space="0"/>
            </w:tcBorders>
            <w:shd w:val="clear"/>
            <w:vAlign w:val="center"/>
          </w:tcPr>
          <w:p w14:paraId="1ED0EC73">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vAlign w:val="center"/>
          </w:tcPr>
          <w:p w14:paraId="46ADB197">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vAlign w:val="center"/>
          </w:tcPr>
          <w:p w14:paraId="2ED4DF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小计</w:t>
            </w:r>
          </w:p>
        </w:tc>
        <w:tc>
          <w:tcPr>
            <w:tcW w:w="424" w:type="pct"/>
            <w:tcBorders>
              <w:top w:val="single" w:color="D4D4D4" w:sz="4" w:space="0"/>
              <w:left w:val="single" w:color="D4D4D4" w:sz="4" w:space="0"/>
              <w:bottom w:val="single" w:color="D4D4D4" w:sz="4" w:space="0"/>
              <w:right w:val="single" w:color="D4D4D4" w:sz="4" w:space="0"/>
            </w:tcBorders>
            <w:shd w:val="clear"/>
            <w:vAlign w:val="center"/>
          </w:tcPr>
          <w:p w14:paraId="1E07C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公务用车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购置费</w:t>
            </w:r>
          </w:p>
        </w:tc>
        <w:tc>
          <w:tcPr>
            <w:tcW w:w="523" w:type="pct"/>
            <w:tcBorders>
              <w:top w:val="single" w:color="D4D4D4" w:sz="4" w:space="0"/>
              <w:left w:val="single" w:color="D4D4D4" w:sz="4" w:space="0"/>
              <w:bottom w:val="single" w:color="D4D4D4" w:sz="4" w:space="0"/>
              <w:right w:val="single" w:color="D4D4D4" w:sz="4" w:space="0"/>
            </w:tcBorders>
            <w:shd w:val="clear"/>
            <w:vAlign w:val="center"/>
          </w:tcPr>
          <w:p w14:paraId="7E853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公务用车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运行维护费</w:t>
            </w:r>
          </w:p>
        </w:tc>
        <w:tc>
          <w:tcPr>
            <w:tcW w:w="525" w:type="pct"/>
            <w:vMerge w:val="continue"/>
            <w:tcBorders>
              <w:top w:val="single" w:color="D4D4D4" w:sz="4" w:space="0"/>
              <w:left w:val="single" w:color="D4D4D4" w:sz="4" w:space="0"/>
              <w:bottom w:val="single" w:color="D4D4D4" w:sz="4" w:space="0"/>
              <w:right w:val="single" w:color="D4D4D4" w:sz="4" w:space="0"/>
            </w:tcBorders>
            <w:shd w:val="clear"/>
            <w:vAlign w:val="center"/>
          </w:tcPr>
          <w:p w14:paraId="52E45CB4">
            <w:pPr>
              <w:jc w:val="center"/>
              <w:rPr>
                <w:rFonts w:hint="eastAsia" w:ascii="宋体" w:hAnsi="宋体" w:eastAsia="宋体" w:cs="宋体"/>
                <w:i w:val="0"/>
                <w:iCs w:val="0"/>
                <w:color w:val="000000"/>
                <w:sz w:val="22"/>
                <w:szCs w:val="22"/>
                <w:u w:val="none"/>
              </w:rPr>
            </w:pPr>
          </w:p>
        </w:tc>
      </w:tr>
      <w:tr w14:paraId="50859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vAlign w:val="center"/>
          </w:tcPr>
          <w:p w14:paraId="1DF3F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522" w:type="pct"/>
            <w:tcBorders>
              <w:top w:val="single" w:color="D4D4D4" w:sz="4" w:space="0"/>
              <w:left w:val="single" w:color="D4D4D4" w:sz="4" w:space="0"/>
              <w:bottom w:val="single" w:color="D4D4D4" w:sz="4" w:space="0"/>
              <w:right w:val="single" w:color="D4D4D4" w:sz="4" w:space="0"/>
            </w:tcBorders>
            <w:shd w:val="clear"/>
            <w:vAlign w:val="center"/>
          </w:tcPr>
          <w:p w14:paraId="724D9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228" w:type="pct"/>
            <w:tcBorders>
              <w:top w:val="single" w:color="D4D4D4" w:sz="4" w:space="0"/>
              <w:left w:val="single" w:color="D4D4D4" w:sz="4" w:space="0"/>
              <w:bottom w:val="single" w:color="D4D4D4" w:sz="4" w:space="0"/>
              <w:right w:val="single" w:color="D4D4D4" w:sz="4" w:space="0"/>
            </w:tcBorders>
            <w:shd w:val="clear"/>
            <w:vAlign w:val="center"/>
          </w:tcPr>
          <w:p w14:paraId="5B954B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522" w:type="pct"/>
            <w:tcBorders>
              <w:top w:val="single" w:color="D4D4D4" w:sz="4" w:space="0"/>
              <w:left w:val="single" w:color="D4D4D4" w:sz="4" w:space="0"/>
              <w:bottom w:val="single" w:color="D4D4D4" w:sz="4" w:space="0"/>
              <w:right w:val="single" w:color="D4D4D4" w:sz="4" w:space="0"/>
            </w:tcBorders>
            <w:shd w:val="clear"/>
            <w:vAlign w:val="center"/>
          </w:tcPr>
          <w:p w14:paraId="25428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522" w:type="pct"/>
            <w:tcBorders>
              <w:top w:val="single" w:color="D4D4D4" w:sz="4" w:space="0"/>
              <w:left w:val="single" w:color="D4D4D4" w:sz="4" w:space="0"/>
              <w:bottom w:val="single" w:color="D4D4D4" w:sz="4" w:space="0"/>
              <w:right w:val="single" w:color="D4D4D4" w:sz="4" w:space="0"/>
            </w:tcBorders>
            <w:shd w:val="clear"/>
            <w:vAlign w:val="center"/>
          </w:tcPr>
          <w:p w14:paraId="722A0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522" w:type="pct"/>
            <w:tcBorders>
              <w:top w:val="single" w:color="D4D4D4" w:sz="4" w:space="0"/>
              <w:left w:val="single" w:color="D4D4D4" w:sz="4" w:space="0"/>
              <w:bottom w:val="single" w:color="D4D4D4" w:sz="4" w:space="0"/>
              <w:right w:val="single" w:color="D4D4D4" w:sz="4" w:space="0"/>
            </w:tcBorders>
            <w:shd w:val="clear"/>
            <w:vAlign w:val="center"/>
          </w:tcPr>
          <w:p w14:paraId="32CC9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228" w:type="pct"/>
            <w:tcBorders>
              <w:top w:val="single" w:color="D4D4D4" w:sz="4" w:space="0"/>
              <w:left w:val="single" w:color="D4D4D4" w:sz="4" w:space="0"/>
              <w:bottom w:val="single" w:color="D4D4D4" w:sz="4" w:space="0"/>
              <w:right w:val="single" w:color="D4D4D4" w:sz="4" w:space="0"/>
            </w:tcBorders>
            <w:shd w:val="clear"/>
            <w:vAlign w:val="center"/>
          </w:tcPr>
          <w:p w14:paraId="77DB2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c>
          <w:tcPr>
            <w:tcW w:w="522" w:type="pct"/>
            <w:tcBorders>
              <w:top w:val="single" w:color="D4D4D4" w:sz="4" w:space="0"/>
              <w:left w:val="single" w:color="D4D4D4" w:sz="4" w:space="0"/>
              <w:bottom w:val="single" w:color="D4D4D4" w:sz="4" w:space="0"/>
              <w:right w:val="single" w:color="D4D4D4" w:sz="4" w:space="0"/>
            </w:tcBorders>
            <w:shd w:val="clear"/>
            <w:vAlign w:val="center"/>
          </w:tcPr>
          <w:p w14:paraId="60160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228" w:type="pct"/>
            <w:tcBorders>
              <w:top w:val="single" w:color="D4D4D4" w:sz="4" w:space="0"/>
              <w:left w:val="single" w:color="D4D4D4" w:sz="4" w:space="0"/>
              <w:bottom w:val="single" w:color="D4D4D4" w:sz="4" w:space="0"/>
              <w:right w:val="single" w:color="D4D4D4" w:sz="4" w:space="0"/>
            </w:tcBorders>
            <w:shd w:val="clear"/>
            <w:vAlign w:val="center"/>
          </w:tcPr>
          <w:p w14:paraId="71BA6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424" w:type="pct"/>
            <w:tcBorders>
              <w:top w:val="single" w:color="D4D4D4" w:sz="4" w:space="0"/>
              <w:left w:val="single" w:color="D4D4D4" w:sz="4" w:space="0"/>
              <w:bottom w:val="single" w:color="D4D4D4" w:sz="4" w:space="0"/>
              <w:right w:val="single" w:color="D4D4D4" w:sz="4" w:space="0"/>
            </w:tcBorders>
            <w:shd w:val="clear"/>
            <w:vAlign w:val="center"/>
          </w:tcPr>
          <w:p w14:paraId="3C2BD5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523" w:type="pct"/>
            <w:tcBorders>
              <w:top w:val="single" w:color="D4D4D4" w:sz="4" w:space="0"/>
              <w:left w:val="single" w:color="D4D4D4" w:sz="4" w:space="0"/>
              <w:bottom w:val="single" w:color="D4D4D4" w:sz="4" w:space="0"/>
              <w:right w:val="single" w:color="D4D4D4" w:sz="4" w:space="0"/>
            </w:tcBorders>
            <w:shd w:val="clear"/>
            <w:vAlign w:val="center"/>
          </w:tcPr>
          <w:p w14:paraId="645FB5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w:t>
            </w:r>
          </w:p>
        </w:tc>
        <w:tc>
          <w:tcPr>
            <w:tcW w:w="525" w:type="pct"/>
            <w:tcBorders>
              <w:top w:val="single" w:color="D4D4D4" w:sz="4" w:space="0"/>
              <w:left w:val="single" w:color="D4D4D4" w:sz="4" w:space="0"/>
              <w:bottom w:val="single" w:color="D4D4D4" w:sz="4" w:space="0"/>
              <w:right w:val="single" w:color="D4D4D4" w:sz="4" w:space="0"/>
            </w:tcBorders>
            <w:shd w:val="clear"/>
            <w:vAlign w:val="center"/>
          </w:tcPr>
          <w:p w14:paraId="2BF61C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w:t>
            </w:r>
          </w:p>
        </w:tc>
      </w:tr>
      <w:tr w14:paraId="1988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vAlign w:val="center"/>
          </w:tcPr>
          <w:p w14:paraId="73C896B5">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vAlign w:val="center"/>
          </w:tcPr>
          <w:p w14:paraId="5750E390">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vAlign w:val="center"/>
          </w:tcPr>
          <w:p w14:paraId="03C8F244">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vAlign w:val="center"/>
          </w:tcPr>
          <w:p w14:paraId="2A15605B">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vAlign w:val="center"/>
          </w:tcPr>
          <w:p w14:paraId="41A5BB9F">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vAlign w:val="center"/>
          </w:tcPr>
          <w:p w14:paraId="14B22FE6">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vAlign w:val="center"/>
          </w:tcPr>
          <w:p w14:paraId="453CC432">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vAlign w:val="center"/>
          </w:tcPr>
          <w:p w14:paraId="17AB0FAD">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vAlign w:val="center"/>
          </w:tcPr>
          <w:p w14:paraId="3AE34100">
            <w:pPr>
              <w:jc w:val="right"/>
              <w:rPr>
                <w:rFonts w:hint="eastAsia" w:ascii="宋体" w:hAnsi="宋体" w:eastAsia="宋体" w:cs="宋体"/>
                <w:i w:val="0"/>
                <w:iCs w:val="0"/>
                <w:color w:val="000000"/>
                <w:sz w:val="22"/>
                <w:szCs w:val="22"/>
                <w:u w:val="none"/>
              </w:rPr>
            </w:pPr>
          </w:p>
        </w:tc>
        <w:tc>
          <w:tcPr>
            <w:tcW w:w="424" w:type="pct"/>
            <w:tcBorders>
              <w:top w:val="single" w:color="D4D4D4" w:sz="4" w:space="0"/>
              <w:left w:val="single" w:color="D4D4D4" w:sz="4" w:space="0"/>
              <w:bottom w:val="single" w:color="D4D4D4" w:sz="4" w:space="0"/>
              <w:right w:val="single" w:color="D4D4D4" w:sz="4" w:space="0"/>
            </w:tcBorders>
            <w:shd w:val="clear"/>
            <w:vAlign w:val="center"/>
          </w:tcPr>
          <w:p w14:paraId="2E7331CA">
            <w:pPr>
              <w:jc w:val="right"/>
              <w:rPr>
                <w:rFonts w:hint="eastAsia" w:ascii="宋体" w:hAnsi="宋体" w:eastAsia="宋体" w:cs="宋体"/>
                <w:i w:val="0"/>
                <w:iCs w:val="0"/>
                <w:color w:val="000000"/>
                <w:sz w:val="22"/>
                <w:szCs w:val="22"/>
                <w:u w:val="none"/>
              </w:rPr>
            </w:pPr>
          </w:p>
        </w:tc>
        <w:tc>
          <w:tcPr>
            <w:tcW w:w="523" w:type="pct"/>
            <w:tcBorders>
              <w:top w:val="single" w:color="D4D4D4" w:sz="4" w:space="0"/>
              <w:left w:val="single" w:color="D4D4D4" w:sz="4" w:space="0"/>
              <w:bottom w:val="single" w:color="D4D4D4" w:sz="4" w:space="0"/>
              <w:right w:val="single" w:color="D4D4D4" w:sz="4" w:space="0"/>
            </w:tcBorders>
            <w:shd w:val="clear"/>
            <w:vAlign w:val="center"/>
          </w:tcPr>
          <w:p w14:paraId="458A3ADC">
            <w:pPr>
              <w:jc w:val="right"/>
              <w:rPr>
                <w:rFonts w:hint="eastAsia" w:ascii="宋体" w:hAnsi="宋体" w:eastAsia="宋体" w:cs="宋体"/>
                <w:i w:val="0"/>
                <w:iCs w:val="0"/>
                <w:color w:val="000000"/>
                <w:sz w:val="22"/>
                <w:szCs w:val="22"/>
                <w:u w:val="none"/>
              </w:rPr>
            </w:pPr>
          </w:p>
        </w:tc>
        <w:tc>
          <w:tcPr>
            <w:tcW w:w="525" w:type="pct"/>
            <w:tcBorders>
              <w:top w:val="single" w:color="D4D4D4" w:sz="4" w:space="0"/>
              <w:left w:val="single" w:color="D4D4D4" w:sz="4" w:space="0"/>
              <w:bottom w:val="single" w:color="D4D4D4" w:sz="4" w:space="0"/>
              <w:right w:val="single" w:color="D4D4D4" w:sz="4" w:space="0"/>
            </w:tcBorders>
            <w:shd w:val="clear"/>
            <w:vAlign w:val="center"/>
          </w:tcPr>
          <w:p w14:paraId="47447815">
            <w:pPr>
              <w:jc w:val="right"/>
              <w:rPr>
                <w:rFonts w:hint="eastAsia" w:ascii="宋体" w:hAnsi="宋体" w:eastAsia="宋体" w:cs="宋体"/>
                <w:i w:val="0"/>
                <w:iCs w:val="0"/>
                <w:color w:val="000000"/>
                <w:sz w:val="22"/>
                <w:szCs w:val="22"/>
                <w:u w:val="none"/>
              </w:rPr>
            </w:pPr>
          </w:p>
        </w:tc>
      </w:tr>
      <w:tr w14:paraId="07FF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000" w:type="pct"/>
            <w:gridSpan w:val="12"/>
            <w:tcBorders>
              <w:top w:val="single" w:color="D4D4D4" w:sz="4" w:space="0"/>
              <w:left w:val="nil"/>
              <w:bottom w:val="nil"/>
              <w:right w:val="nil"/>
            </w:tcBorders>
            <w:shd w:val="clear"/>
            <w:vAlign w:val="top"/>
          </w:tcPr>
          <w:p w14:paraId="67D9595F">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注：本表反映单位本年度一般公共预算财政拨款“三公”经费支出预决算情况。其中，预算数为“三公”经费全年预算数，反映按规定程序调整后的预算数；决算数是包括当年一般公共预算财政拨款和以前年度结转资金安排的实际支出。</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淮南市潘集工程技术中等专业学校202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淮南市潘集工程技术中等专业学校202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淮南市潘集工程技术中等专业学校</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淮南市潘集工程技术中等专业学校</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淮南市潘集工程技术中等专业学校</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4FF"/>
    <w:rsid w:val="50654216"/>
    <w:rsid w:val="653E6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1041</Words>
  <Characters>1149</Characters>
  <Lines>0</Lines>
  <Paragraphs>0</Paragraphs>
  <TotalTime>8</TotalTime>
  <ScaleCrop>false</ScaleCrop>
  <LinksUpToDate>false</LinksUpToDate>
  <CharactersWithSpaces>1164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空白</cp:lastModifiedBy>
  <dcterms:modified xsi:type="dcterms:W3CDTF">2025-09-19T03:22:48Z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eyJoZGlkIjoiY2EyZmU5OWZiZGU2NTBjMzZmNzNjMjNmYmI4ZmI0NWUiLCJ1c2VySWQiOiIyNjUxNzA1NDEifQ==</vt:lpwstr>
  </property>
  <property fmtid="{D5CDD505-2E9C-101B-9397-08002B2CF9AE}" pid="4" name="ICV">
    <vt:lpwstr>393E05A7A6354938AD1103346C453809_12</vt:lpwstr>
  </property>
</Properties>
</file>