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6C8001">
      <w:pPr>
        <w:jc w:val="both"/>
        <w:rPr>
          <w:rFonts w:hint="default" w:ascii="黑体" w:hAnsi="黑体" w:eastAsia="黑体" w:cs="黑体"/>
          <w:b w:val="0"/>
          <w:bCs/>
          <w:sz w:val="32"/>
          <w:szCs w:val="32"/>
          <w:lang w:val="en-US" w:eastAsia="zh-CN"/>
        </w:rPr>
      </w:pPr>
    </w:p>
    <w:p w14:paraId="4C4F47C4">
      <w:pPr>
        <w:jc w:val="center"/>
        <w:rPr>
          <w:rFonts w:hint="eastAsia" w:ascii="宋体" w:hAnsi="宋体"/>
          <w:b/>
          <w:sz w:val="36"/>
          <w:szCs w:val="36"/>
        </w:rPr>
      </w:pPr>
      <w:bookmarkStart w:id="0" w:name="_GoBack"/>
      <w:bookmarkEnd w:id="0"/>
      <w:r>
        <w:rPr>
          <w:rFonts w:hint="eastAsia" w:ascii="宋体" w:hAnsi="宋体"/>
          <w:b/>
          <w:sz w:val="36"/>
          <w:szCs w:val="36"/>
          <w:lang w:eastAsia="zh-CN"/>
        </w:rPr>
        <w:t>淮南市潘集区祁集中学202</w:t>
      </w:r>
      <w:r>
        <w:rPr>
          <w:rFonts w:hint="eastAsia" w:ascii="宋体" w:hAnsi="宋体"/>
          <w:b/>
          <w:sz w:val="36"/>
          <w:szCs w:val="36"/>
          <w:lang w:val="en-US" w:eastAsia="zh-CN"/>
        </w:rPr>
        <w:t>4</w:t>
      </w:r>
      <w:r>
        <w:rPr>
          <w:rFonts w:ascii="宋体" w:hAnsi="宋体"/>
          <w:b/>
          <w:sz w:val="36"/>
          <w:szCs w:val="36"/>
        </w:rPr>
        <w:t>年</w:t>
      </w:r>
      <w:r>
        <w:rPr>
          <w:rFonts w:hint="eastAsia" w:ascii="宋体" w:hAnsi="宋体"/>
          <w:b/>
          <w:sz w:val="36"/>
          <w:szCs w:val="36"/>
        </w:rPr>
        <w:t>度一般公共预算财政拨款</w:t>
      </w:r>
      <w:r>
        <w:rPr>
          <w:rFonts w:ascii="宋体" w:hAnsi="宋体"/>
          <w:b/>
          <w:sz w:val="36"/>
          <w:szCs w:val="36"/>
        </w:rPr>
        <w:t>“三公</w:t>
      </w:r>
      <w:r>
        <w:rPr>
          <w:rFonts w:hint="eastAsia" w:ascii="宋体" w:hAnsi="宋体"/>
          <w:b/>
          <w:sz w:val="36"/>
          <w:szCs w:val="36"/>
        </w:rPr>
        <w:t>”</w:t>
      </w:r>
      <w:r>
        <w:rPr>
          <w:rFonts w:ascii="宋体" w:hAnsi="宋体"/>
          <w:b/>
          <w:sz w:val="36"/>
          <w:szCs w:val="36"/>
        </w:rPr>
        <w:t>经费</w:t>
      </w:r>
      <w:r>
        <w:rPr>
          <w:rFonts w:hint="eastAsia" w:ascii="宋体" w:hAnsi="宋体"/>
          <w:b/>
          <w:sz w:val="36"/>
          <w:szCs w:val="36"/>
        </w:rPr>
        <w:t>支出决算</w:t>
      </w:r>
    </w:p>
    <w:p w14:paraId="3E6C069D">
      <w:pPr>
        <w:jc w:val="center"/>
        <w:rPr>
          <w:rFonts w:hint="eastAsia" w:ascii="楷体_GB2312" w:eastAsia="楷体_GB2312"/>
          <w:szCs w:val="32"/>
        </w:rPr>
      </w:pPr>
    </w:p>
    <w:p w14:paraId="497E90E8">
      <w:pPr>
        <w:adjustRightInd w:val="0"/>
        <w:snapToGrid w:val="0"/>
        <w:spacing w:line="360" w:lineRule="auto"/>
        <w:jc w:val="center"/>
        <w:rPr>
          <w:rFonts w:hint="eastAsia" w:ascii="宋体" w:hAnsi="宋体"/>
          <w:sz w:val="6"/>
          <w:szCs w:val="32"/>
        </w:rPr>
      </w:pPr>
    </w:p>
    <w:p w14:paraId="65007BA5">
      <w:pPr>
        <w:ind w:firstLine="627"/>
        <w:rPr>
          <w:rFonts w:hint="eastAsia" w:ascii="黑体" w:hAnsi="黑体" w:eastAsia="黑体"/>
          <w:szCs w:val="32"/>
        </w:rPr>
      </w:pPr>
      <w:r>
        <w:rPr>
          <w:rFonts w:hint="eastAsia" w:ascii="黑体" w:hAnsi="黑体" w:eastAsia="黑体"/>
          <w:szCs w:val="32"/>
        </w:rPr>
        <w:t>一、</w:t>
      </w:r>
      <w:r>
        <w:rPr>
          <w:rFonts w:hint="eastAsia" w:ascii="黑体" w:hAnsi="黑体" w:eastAsia="黑体"/>
          <w:szCs w:val="32"/>
          <w:lang w:eastAsia="zh-CN"/>
        </w:rPr>
        <w:t>202</w:t>
      </w:r>
      <w:r>
        <w:rPr>
          <w:rFonts w:hint="eastAsia" w:ascii="黑体" w:hAnsi="黑体" w:eastAsia="黑体"/>
          <w:szCs w:val="32"/>
          <w:lang w:val="en-US" w:eastAsia="zh-CN"/>
        </w:rPr>
        <w:t>4</w:t>
      </w:r>
      <w:r>
        <w:rPr>
          <w:rFonts w:hint="eastAsia" w:ascii="黑体" w:hAnsi="黑体" w:eastAsia="黑体"/>
          <w:szCs w:val="32"/>
        </w:rPr>
        <w:t>年度一般公共预算财政拨款“三公”经费支出决算表</w:t>
      </w:r>
    </w:p>
    <w:tbl>
      <w:tblPr>
        <w:tblStyle w:val="4"/>
        <w:tblW w:w="8817" w:type="dxa"/>
        <w:tblInd w:w="0" w:type="dxa"/>
        <w:tblLayout w:type="fixed"/>
        <w:tblCellMar>
          <w:top w:w="0" w:type="dxa"/>
          <w:left w:w="0" w:type="dxa"/>
          <w:bottom w:w="0" w:type="dxa"/>
          <w:right w:w="0" w:type="dxa"/>
        </w:tblCellMar>
      </w:tblPr>
      <w:tblGrid>
        <w:gridCol w:w="597"/>
        <w:gridCol w:w="792"/>
        <w:gridCol w:w="588"/>
        <w:gridCol w:w="744"/>
        <w:gridCol w:w="960"/>
        <w:gridCol w:w="636"/>
        <w:gridCol w:w="600"/>
        <w:gridCol w:w="816"/>
        <w:gridCol w:w="696"/>
        <w:gridCol w:w="840"/>
        <w:gridCol w:w="936"/>
        <w:gridCol w:w="612"/>
      </w:tblGrid>
      <w:tr w14:paraId="146C2645">
        <w:tblPrEx>
          <w:tblCellMar>
            <w:top w:w="0" w:type="dxa"/>
            <w:left w:w="0" w:type="dxa"/>
            <w:bottom w:w="0" w:type="dxa"/>
            <w:right w:w="0" w:type="dxa"/>
          </w:tblCellMar>
        </w:tblPrEx>
        <w:trPr>
          <w:trHeight w:val="290" w:hRule="atLeast"/>
        </w:trPr>
        <w:tc>
          <w:tcPr>
            <w:tcW w:w="597" w:type="dxa"/>
            <w:tcBorders>
              <w:top w:val="nil"/>
              <w:left w:val="nil"/>
              <w:bottom w:val="nil"/>
              <w:right w:val="nil"/>
            </w:tcBorders>
            <w:shd w:val="clear" w:color="auto" w:fill="FFFFFF"/>
            <w:noWrap/>
            <w:tcMar>
              <w:top w:w="12" w:type="dxa"/>
              <w:left w:w="12" w:type="dxa"/>
              <w:right w:w="12" w:type="dxa"/>
            </w:tcMar>
            <w:vAlign w:val="center"/>
          </w:tcPr>
          <w:p w14:paraId="0BDD1ABE">
            <w:pPr>
              <w:keepNext w:val="0"/>
              <w:keepLines w:val="0"/>
              <w:widowControl/>
              <w:suppressLineNumbers w:val="0"/>
              <w:jc w:val="left"/>
              <w:textAlignment w:val="center"/>
              <w:rPr>
                <w:rFonts w:hint="eastAsia" w:ascii="宋体" w:hAnsi="宋体" w:eastAsia="宋体" w:cs="宋体"/>
                <w:i w:val="0"/>
                <w:color w:val="000000"/>
                <w:sz w:val="20"/>
                <w:szCs w:val="20"/>
                <w:u w:val="none"/>
              </w:rPr>
            </w:pPr>
          </w:p>
        </w:tc>
        <w:tc>
          <w:tcPr>
            <w:tcW w:w="792" w:type="dxa"/>
            <w:tcBorders>
              <w:top w:val="nil"/>
              <w:left w:val="nil"/>
              <w:bottom w:val="nil"/>
              <w:right w:val="nil"/>
            </w:tcBorders>
            <w:shd w:val="clear" w:color="auto" w:fill="FFFFFF"/>
            <w:noWrap w:val="0"/>
            <w:tcMar>
              <w:top w:w="12" w:type="dxa"/>
              <w:left w:w="12" w:type="dxa"/>
              <w:right w:w="12" w:type="dxa"/>
            </w:tcMar>
            <w:vAlign w:val="center"/>
          </w:tcPr>
          <w:p w14:paraId="629A0C43">
            <w:pPr>
              <w:rPr>
                <w:rFonts w:hint="eastAsia" w:ascii="宋体" w:hAnsi="宋体" w:eastAsia="宋体" w:cs="宋体"/>
                <w:i w:val="0"/>
                <w:color w:val="000000"/>
                <w:sz w:val="20"/>
                <w:szCs w:val="20"/>
                <w:u w:val="none"/>
              </w:rPr>
            </w:pPr>
          </w:p>
        </w:tc>
        <w:tc>
          <w:tcPr>
            <w:tcW w:w="588" w:type="dxa"/>
            <w:tcBorders>
              <w:top w:val="nil"/>
              <w:left w:val="nil"/>
              <w:bottom w:val="nil"/>
              <w:right w:val="nil"/>
            </w:tcBorders>
            <w:shd w:val="clear" w:color="auto" w:fill="FFFFFF"/>
            <w:noWrap w:val="0"/>
            <w:tcMar>
              <w:top w:w="12" w:type="dxa"/>
              <w:left w:w="12" w:type="dxa"/>
              <w:right w:w="12" w:type="dxa"/>
            </w:tcMar>
            <w:vAlign w:val="center"/>
          </w:tcPr>
          <w:p w14:paraId="1373781E">
            <w:pPr>
              <w:rPr>
                <w:rFonts w:hint="eastAsia" w:ascii="宋体" w:hAnsi="宋体" w:eastAsia="宋体" w:cs="宋体"/>
                <w:i w:val="0"/>
                <w:color w:val="000000"/>
                <w:sz w:val="20"/>
                <w:szCs w:val="20"/>
                <w:u w:val="none"/>
              </w:rPr>
            </w:pPr>
          </w:p>
        </w:tc>
        <w:tc>
          <w:tcPr>
            <w:tcW w:w="744" w:type="dxa"/>
            <w:tcBorders>
              <w:top w:val="nil"/>
              <w:left w:val="nil"/>
              <w:bottom w:val="nil"/>
              <w:right w:val="nil"/>
            </w:tcBorders>
            <w:shd w:val="clear" w:color="auto" w:fill="FFFFFF"/>
            <w:noWrap w:val="0"/>
            <w:tcMar>
              <w:top w:w="12" w:type="dxa"/>
              <w:left w:w="12" w:type="dxa"/>
              <w:right w:w="12" w:type="dxa"/>
            </w:tcMar>
            <w:vAlign w:val="center"/>
          </w:tcPr>
          <w:p w14:paraId="5BBB0C14">
            <w:pPr>
              <w:rPr>
                <w:rFonts w:hint="eastAsia" w:ascii="宋体" w:hAnsi="宋体" w:eastAsia="宋体" w:cs="宋体"/>
                <w:i w:val="0"/>
                <w:color w:val="000000"/>
                <w:sz w:val="20"/>
                <w:szCs w:val="20"/>
                <w:u w:val="none"/>
              </w:rPr>
            </w:pPr>
          </w:p>
        </w:tc>
        <w:tc>
          <w:tcPr>
            <w:tcW w:w="960" w:type="dxa"/>
            <w:tcBorders>
              <w:top w:val="nil"/>
              <w:left w:val="nil"/>
              <w:bottom w:val="nil"/>
              <w:right w:val="nil"/>
            </w:tcBorders>
            <w:shd w:val="clear" w:color="auto" w:fill="FFFFFF"/>
            <w:noWrap w:val="0"/>
            <w:tcMar>
              <w:top w:w="12" w:type="dxa"/>
              <w:left w:w="12" w:type="dxa"/>
              <w:right w:w="12" w:type="dxa"/>
            </w:tcMar>
            <w:vAlign w:val="center"/>
          </w:tcPr>
          <w:p w14:paraId="52AEB55B">
            <w:pPr>
              <w:rPr>
                <w:rFonts w:hint="eastAsia" w:ascii="宋体" w:hAnsi="宋体" w:eastAsia="宋体" w:cs="宋体"/>
                <w:i w:val="0"/>
                <w:color w:val="000000"/>
                <w:sz w:val="20"/>
                <w:szCs w:val="20"/>
                <w:u w:val="none"/>
              </w:rPr>
            </w:pPr>
          </w:p>
        </w:tc>
        <w:tc>
          <w:tcPr>
            <w:tcW w:w="636" w:type="dxa"/>
            <w:tcBorders>
              <w:top w:val="nil"/>
              <w:left w:val="nil"/>
              <w:bottom w:val="nil"/>
              <w:right w:val="nil"/>
            </w:tcBorders>
            <w:shd w:val="clear" w:color="auto" w:fill="FFFFFF"/>
            <w:noWrap w:val="0"/>
            <w:tcMar>
              <w:top w:w="12" w:type="dxa"/>
              <w:left w:w="12" w:type="dxa"/>
              <w:right w:w="12" w:type="dxa"/>
            </w:tcMar>
            <w:vAlign w:val="center"/>
          </w:tcPr>
          <w:p w14:paraId="40EDC028">
            <w:pPr>
              <w:rPr>
                <w:rFonts w:hint="eastAsia" w:ascii="宋体" w:hAnsi="宋体" w:eastAsia="宋体" w:cs="宋体"/>
                <w:i w:val="0"/>
                <w:color w:val="000000"/>
                <w:sz w:val="20"/>
                <w:szCs w:val="20"/>
                <w:u w:val="none"/>
              </w:rPr>
            </w:pPr>
          </w:p>
        </w:tc>
        <w:tc>
          <w:tcPr>
            <w:tcW w:w="600" w:type="dxa"/>
            <w:tcBorders>
              <w:top w:val="nil"/>
              <w:left w:val="nil"/>
              <w:bottom w:val="nil"/>
              <w:right w:val="nil"/>
            </w:tcBorders>
            <w:shd w:val="clear" w:color="auto" w:fill="FFFFFF"/>
            <w:noWrap w:val="0"/>
            <w:tcMar>
              <w:top w:w="12" w:type="dxa"/>
              <w:left w:w="12" w:type="dxa"/>
              <w:right w:w="12" w:type="dxa"/>
            </w:tcMar>
            <w:vAlign w:val="center"/>
          </w:tcPr>
          <w:p w14:paraId="13F691E8">
            <w:pPr>
              <w:rPr>
                <w:rFonts w:hint="eastAsia" w:ascii="宋体" w:hAnsi="宋体" w:eastAsia="宋体" w:cs="宋体"/>
                <w:i w:val="0"/>
                <w:color w:val="000000"/>
                <w:sz w:val="20"/>
                <w:szCs w:val="20"/>
                <w:u w:val="none"/>
              </w:rPr>
            </w:pPr>
          </w:p>
        </w:tc>
        <w:tc>
          <w:tcPr>
            <w:tcW w:w="816" w:type="dxa"/>
            <w:tcBorders>
              <w:top w:val="nil"/>
              <w:left w:val="nil"/>
              <w:bottom w:val="nil"/>
              <w:right w:val="nil"/>
            </w:tcBorders>
            <w:shd w:val="clear" w:color="auto" w:fill="FFFFFF"/>
            <w:noWrap w:val="0"/>
            <w:tcMar>
              <w:top w:w="12" w:type="dxa"/>
              <w:left w:w="12" w:type="dxa"/>
              <w:right w:w="12" w:type="dxa"/>
            </w:tcMar>
            <w:vAlign w:val="center"/>
          </w:tcPr>
          <w:p w14:paraId="32BAFD68">
            <w:pPr>
              <w:rPr>
                <w:rFonts w:hint="eastAsia" w:ascii="宋体" w:hAnsi="宋体" w:eastAsia="宋体" w:cs="宋体"/>
                <w:i w:val="0"/>
                <w:color w:val="000000"/>
                <w:sz w:val="20"/>
                <w:szCs w:val="20"/>
                <w:u w:val="none"/>
              </w:rPr>
            </w:pPr>
          </w:p>
        </w:tc>
        <w:tc>
          <w:tcPr>
            <w:tcW w:w="696" w:type="dxa"/>
            <w:tcBorders>
              <w:top w:val="nil"/>
              <w:left w:val="nil"/>
              <w:bottom w:val="nil"/>
              <w:right w:val="nil"/>
            </w:tcBorders>
            <w:shd w:val="clear" w:color="auto" w:fill="FFFFFF"/>
            <w:noWrap w:val="0"/>
            <w:tcMar>
              <w:top w:w="12" w:type="dxa"/>
              <w:left w:w="12" w:type="dxa"/>
              <w:right w:w="12" w:type="dxa"/>
            </w:tcMar>
            <w:vAlign w:val="center"/>
          </w:tcPr>
          <w:p w14:paraId="7EA8239E">
            <w:pPr>
              <w:rPr>
                <w:rFonts w:hint="eastAsia" w:ascii="宋体" w:hAnsi="宋体" w:eastAsia="宋体" w:cs="宋体"/>
                <w:i w:val="0"/>
                <w:color w:val="000000"/>
                <w:sz w:val="20"/>
                <w:szCs w:val="20"/>
                <w:u w:val="none"/>
              </w:rPr>
            </w:pPr>
          </w:p>
        </w:tc>
        <w:tc>
          <w:tcPr>
            <w:tcW w:w="840" w:type="dxa"/>
            <w:tcBorders>
              <w:top w:val="nil"/>
              <w:left w:val="nil"/>
              <w:bottom w:val="nil"/>
              <w:right w:val="nil"/>
            </w:tcBorders>
            <w:shd w:val="clear" w:color="auto" w:fill="FFFFFF"/>
            <w:noWrap w:val="0"/>
            <w:tcMar>
              <w:top w:w="12" w:type="dxa"/>
              <w:left w:w="12" w:type="dxa"/>
              <w:right w:w="12" w:type="dxa"/>
            </w:tcMar>
            <w:vAlign w:val="center"/>
          </w:tcPr>
          <w:p w14:paraId="611DB7F0">
            <w:pPr>
              <w:rPr>
                <w:rFonts w:hint="eastAsia" w:ascii="宋体" w:hAnsi="宋体" w:eastAsia="宋体" w:cs="宋体"/>
                <w:i w:val="0"/>
                <w:color w:val="000000"/>
                <w:sz w:val="20"/>
                <w:szCs w:val="20"/>
                <w:u w:val="none"/>
              </w:rPr>
            </w:pPr>
          </w:p>
        </w:tc>
        <w:tc>
          <w:tcPr>
            <w:tcW w:w="1548" w:type="dxa"/>
            <w:gridSpan w:val="2"/>
            <w:tcBorders>
              <w:top w:val="nil"/>
              <w:left w:val="nil"/>
              <w:bottom w:val="nil"/>
              <w:right w:val="nil"/>
            </w:tcBorders>
            <w:shd w:val="clear" w:color="auto" w:fill="FFFFFF"/>
            <w:noWrap w:val="0"/>
            <w:tcMar>
              <w:top w:w="12" w:type="dxa"/>
              <w:left w:w="12" w:type="dxa"/>
              <w:right w:w="12" w:type="dxa"/>
            </w:tcMar>
            <w:vAlign w:val="center"/>
          </w:tcPr>
          <w:p w14:paraId="078431D7">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Arial"/>
                <w:color w:val="000000"/>
                <w:kern w:val="0"/>
                <w:sz w:val="22"/>
                <w:szCs w:val="22"/>
              </w:rPr>
              <w:t>金额单位</w:t>
            </w:r>
            <w:r>
              <w:rPr>
                <w:rFonts w:hint="eastAsia" w:ascii="宋体" w:hAnsi="宋体" w:eastAsia="宋体" w:cs="宋体"/>
                <w:i w:val="0"/>
                <w:color w:val="000000"/>
                <w:kern w:val="0"/>
                <w:sz w:val="20"/>
                <w:szCs w:val="20"/>
                <w:u w:val="none"/>
                <w:lang w:val="en-US" w:eastAsia="zh-CN" w:bidi="ar"/>
              </w:rPr>
              <w:t>：万元</w:t>
            </w:r>
          </w:p>
        </w:tc>
      </w:tr>
      <w:tr w14:paraId="08FA2C95">
        <w:tblPrEx>
          <w:tblCellMar>
            <w:top w:w="0" w:type="dxa"/>
            <w:left w:w="0" w:type="dxa"/>
            <w:bottom w:w="0" w:type="dxa"/>
            <w:right w:w="0" w:type="dxa"/>
          </w:tblCellMar>
        </w:tblPrEx>
        <w:trPr>
          <w:trHeight w:val="540" w:hRule="atLeast"/>
        </w:trPr>
        <w:tc>
          <w:tcPr>
            <w:tcW w:w="4317" w:type="dxa"/>
            <w:gridSpan w:val="6"/>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D620BF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预算数</w:t>
            </w:r>
          </w:p>
        </w:tc>
        <w:tc>
          <w:tcPr>
            <w:tcW w:w="4500" w:type="dxa"/>
            <w:gridSpan w:val="6"/>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9511B1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决算数</w:t>
            </w:r>
          </w:p>
        </w:tc>
      </w:tr>
      <w:tr w14:paraId="14601B34">
        <w:tblPrEx>
          <w:tblCellMar>
            <w:top w:w="0" w:type="dxa"/>
            <w:left w:w="0" w:type="dxa"/>
            <w:bottom w:w="0" w:type="dxa"/>
            <w:right w:w="0" w:type="dxa"/>
          </w:tblCellMar>
        </w:tblPrEx>
        <w:trPr>
          <w:trHeight w:val="578" w:hRule="atLeast"/>
        </w:trPr>
        <w:tc>
          <w:tcPr>
            <w:tcW w:w="597"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55DDE3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合计</w:t>
            </w:r>
          </w:p>
        </w:tc>
        <w:tc>
          <w:tcPr>
            <w:tcW w:w="792"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29E583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因公出国（境）费</w:t>
            </w:r>
          </w:p>
        </w:tc>
        <w:tc>
          <w:tcPr>
            <w:tcW w:w="2292" w:type="dxa"/>
            <w:gridSpan w:val="3"/>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4BEF24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公务用车购置及运行维护费</w:t>
            </w:r>
          </w:p>
        </w:tc>
        <w:tc>
          <w:tcPr>
            <w:tcW w:w="636"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527891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公务接待费</w:t>
            </w:r>
          </w:p>
        </w:tc>
        <w:tc>
          <w:tcPr>
            <w:tcW w:w="600"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217524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合计</w:t>
            </w:r>
          </w:p>
        </w:tc>
        <w:tc>
          <w:tcPr>
            <w:tcW w:w="816"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B5F829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因公出国（境）费</w:t>
            </w:r>
          </w:p>
        </w:tc>
        <w:tc>
          <w:tcPr>
            <w:tcW w:w="2472" w:type="dxa"/>
            <w:gridSpan w:val="3"/>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959A4D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20"/>
                <w:szCs w:val="20"/>
                <w:u w:val="none"/>
                <w:lang w:val="en-US" w:eastAsia="zh-CN" w:bidi="ar"/>
              </w:rPr>
              <w:t>公务用车购置及运行维护费</w:t>
            </w:r>
          </w:p>
        </w:tc>
        <w:tc>
          <w:tcPr>
            <w:tcW w:w="612"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134928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公务接待费</w:t>
            </w:r>
          </w:p>
        </w:tc>
      </w:tr>
      <w:tr w14:paraId="0092FD19">
        <w:tblPrEx>
          <w:tblCellMar>
            <w:top w:w="0" w:type="dxa"/>
            <w:left w:w="0" w:type="dxa"/>
            <w:bottom w:w="0" w:type="dxa"/>
            <w:right w:w="0" w:type="dxa"/>
          </w:tblCellMar>
        </w:tblPrEx>
        <w:trPr>
          <w:trHeight w:val="578" w:hRule="atLeast"/>
        </w:trPr>
        <w:tc>
          <w:tcPr>
            <w:tcW w:w="597"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4A79C21">
            <w:pPr>
              <w:jc w:val="center"/>
              <w:rPr>
                <w:rFonts w:hint="eastAsia" w:ascii="宋体" w:hAnsi="宋体" w:eastAsia="宋体" w:cs="宋体"/>
                <w:i w:val="0"/>
                <w:color w:val="000000"/>
                <w:sz w:val="18"/>
                <w:szCs w:val="18"/>
                <w:u w:val="none"/>
              </w:rPr>
            </w:pPr>
          </w:p>
        </w:tc>
        <w:tc>
          <w:tcPr>
            <w:tcW w:w="792"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2FBCA79">
            <w:pPr>
              <w:jc w:val="center"/>
              <w:rPr>
                <w:rFonts w:hint="eastAsia" w:ascii="宋体" w:hAnsi="宋体" w:eastAsia="宋体" w:cs="宋体"/>
                <w:i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ECBE3D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小计</w:t>
            </w:r>
          </w:p>
        </w:tc>
        <w:tc>
          <w:tcPr>
            <w:tcW w:w="74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235928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公务用车购置费</w:t>
            </w:r>
          </w:p>
        </w:tc>
        <w:tc>
          <w:tcPr>
            <w:tcW w:w="96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DBBF0C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公务用车运行维护费</w:t>
            </w:r>
          </w:p>
        </w:tc>
        <w:tc>
          <w:tcPr>
            <w:tcW w:w="636"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2B80511">
            <w:pPr>
              <w:jc w:val="center"/>
              <w:rPr>
                <w:rFonts w:hint="eastAsia" w:ascii="宋体" w:hAnsi="宋体" w:eastAsia="宋体" w:cs="宋体"/>
                <w:i w:val="0"/>
                <w:color w:val="000000"/>
                <w:sz w:val="18"/>
                <w:szCs w:val="18"/>
                <w:u w:val="none"/>
              </w:rPr>
            </w:pPr>
          </w:p>
        </w:tc>
        <w:tc>
          <w:tcPr>
            <w:tcW w:w="600"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89A4435">
            <w:pPr>
              <w:jc w:val="center"/>
              <w:rPr>
                <w:rFonts w:hint="eastAsia" w:ascii="宋体" w:hAnsi="宋体" w:eastAsia="宋体" w:cs="宋体"/>
                <w:i w:val="0"/>
                <w:color w:val="000000"/>
                <w:sz w:val="18"/>
                <w:szCs w:val="18"/>
                <w:u w:val="none"/>
              </w:rPr>
            </w:pPr>
          </w:p>
        </w:tc>
        <w:tc>
          <w:tcPr>
            <w:tcW w:w="816"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E0A402A">
            <w:pPr>
              <w:jc w:val="center"/>
              <w:rPr>
                <w:rFonts w:hint="eastAsia" w:ascii="宋体" w:hAnsi="宋体" w:eastAsia="宋体" w:cs="宋体"/>
                <w:i w:val="0"/>
                <w:color w:val="000000"/>
                <w:sz w:val="18"/>
                <w:szCs w:val="18"/>
                <w:u w:val="none"/>
              </w:rPr>
            </w:pPr>
          </w:p>
        </w:tc>
        <w:tc>
          <w:tcPr>
            <w:tcW w:w="69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F4E1E6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小计</w:t>
            </w:r>
          </w:p>
        </w:tc>
        <w:tc>
          <w:tcPr>
            <w:tcW w:w="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B07C1E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公务用车购置费</w:t>
            </w:r>
          </w:p>
        </w:tc>
        <w:tc>
          <w:tcPr>
            <w:tcW w:w="9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6E0616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公务用车运行维护费</w:t>
            </w:r>
          </w:p>
        </w:tc>
        <w:tc>
          <w:tcPr>
            <w:tcW w:w="612"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EB3240C">
            <w:pPr>
              <w:jc w:val="center"/>
              <w:rPr>
                <w:rFonts w:hint="eastAsia" w:ascii="宋体" w:hAnsi="宋体" w:eastAsia="宋体" w:cs="宋体"/>
                <w:i w:val="0"/>
                <w:color w:val="000000"/>
                <w:sz w:val="18"/>
                <w:szCs w:val="18"/>
                <w:u w:val="none"/>
              </w:rPr>
            </w:pPr>
          </w:p>
        </w:tc>
      </w:tr>
      <w:tr w14:paraId="57EC054D">
        <w:tblPrEx>
          <w:tblCellMar>
            <w:top w:w="0" w:type="dxa"/>
            <w:left w:w="0" w:type="dxa"/>
            <w:bottom w:w="0" w:type="dxa"/>
            <w:right w:w="0" w:type="dxa"/>
          </w:tblCellMar>
        </w:tblPrEx>
        <w:trPr>
          <w:trHeight w:val="540" w:hRule="atLeast"/>
        </w:trPr>
        <w:tc>
          <w:tcPr>
            <w:tcW w:w="59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707377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79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EEF371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58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6D5C24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74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08A3A9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96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2F705B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6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ABFB52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60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A20A0B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1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57278D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69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D58B9A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18CE87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94B0C2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w:t>
            </w:r>
          </w:p>
        </w:tc>
        <w:tc>
          <w:tcPr>
            <w:tcW w:w="61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5F14E2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r>
      <w:tr w14:paraId="69C0338D">
        <w:tblPrEx>
          <w:tblCellMar>
            <w:top w:w="0" w:type="dxa"/>
            <w:left w:w="0" w:type="dxa"/>
            <w:bottom w:w="0" w:type="dxa"/>
            <w:right w:w="0" w:type="dxa"/>
          </w:tblCellMar>
        </w:tblPrEx>
        <w:trPr>
          <w:trHeight w:val="414" w:hRule="atLeast"/>
        </w:trPr>
        <w:tc>
          <w:tcPr>
            <w:tcW w:w="59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7087124">
            <w:pPr>
              <w:rPr>
                <w:rFonts w:hint="default" w:ascii="宋体" w:hAnsi="宋体" w:eastAsia="宋体" w:cs="宋体"/>
                <w:i w:val="0"/>
                <w:color w:val="000000"/>
                <w:sz w:val="20"/>
                <w:szCs w:val="20"/>
                <w:u w:val="none"/>
                <w:lang w:val="en-US" w:eastAsia="zh-CN"/>
              </w:rPr>
            </w:pPr>
          </w:p>
        </w:tc>
        <w:tc>
          <w:tcPr>
            <w:tcW w:w="79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A39024F">
            <w:pPr>
              <w:rPr>
                <w:rFonts w:hint="eastAsia" w:ascii="宋体" w:hAnsi="宋体" w:eastAsia="宋体" w:cs="宋体"/>
                <w:i w:val="0"/>
                <w:color w:val="000000"/>
                <w:sz w:val="20"/>
                <w:szCs w:val="20"/>
                <w:u w:val="none"/>
              </w:rPr>
            </w:pPr>
          </w:p>
        </w:tc>
        <w:tc>
          <w:tcPr>
            <w:tcW w:w="58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64618F3">
            <w:pPr>
              <w:rPr>
                <w:rFonts w:hint="default" w:ascii="宋体" w:hAnsi="宋体" w:eastAsia="宋体" w:cs="宋体"/>
                <w:i w:val="0"/>
                <w:color w:val="000000"/>
                <w:sz w:val="20"/>
                <w:szCs w:val="20"/>
                <w:u w:val="none"/>
                <w:lang w:val="en-US" w:eastAsia="zh-CN"/>
              </w:rPr>
            </w:pPr>
          </w:p>
        </w:tc>
        <w:tc>
          <w:tcPr>
            <w:tcW w:w="74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C033D65">
            <w:pPr>
              <w:rPr>
                <w:rFonts w:hint="eastAsia" w:ascii="宋体" w:hAnsi="宋体" w:eastAsia="宋体" w:cs="宋体"/>
                <w:i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4171C69">
            <w:pPr>
              <w:rPr>
                <w:rFonts w:hint="eastAsia" w:ascii="宋体" w:hAnsi="宋体" w:eastAsia="宋体" w:cs="宋体"/>
                <w:i w:val="0"/>
                <w:color w:val="000000"/>
                <w:sz w:val="20"/>
                <w:szCs w:val="20"/>
                <w:u w:val="none"/>
              </w:rPr>
            </w:pPr>
          </w:p>
        </w:tc>
        <w:tc>
          <w:tcPr>
            <w:tcW w:w="6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DA6C492">
            <w:pPr>
              <w:rPr>
                <w:rFonts w:hint="default" w:ascii="宋体" w:hAnsi="宋体" w:eastAsia="宋体" w:cs="宋体"/>
                <w:i w:val="0"/>
                <w:color w:val="000000"/>
                <w:sz w:val="20"/>
                <w:szCs w:val="20"/>
                <w:u w:val="none"/>
                <w:lang w:val="en-US" w:eastAsia="zh-CN"/>
              </w:rPr>
            </w:pPr>
          </w:p>
        </w:tc>
        <w:tc>
          <w:tcPr>
            <w:tcW w:w="60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05DC6EF">
            <w:pPr>
              <w:rPr>
                <w:rFonts w:hint="default" w:ascii="宋体" w:hAnsi="宋体" w:eastAsia="宋体" w:cs="宋体"/>
                <w:i w:val="0"/>
                <w:color w:val="000000"/>
                <w:sz w:val="20"/>
                <w:szCs w:val="20"/>
                <w:u w:val="none"/>
                <w:lang w:val="en-US" w:eastAsia="zh-CN"/>
              </w:rPr>
            </w:pPr>
          </w:p>
        </w:tc>
        <w:tc>
          <w:tcPr>
            <w:tcW w:w="81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213173F">
            <w:pPr>
              <w:rPr>
                <w:rFonts w:hint="eastAsia" w:ascii="宋体" w:hAnsi="宋体" w:eastAsia="宋体" w:cs="宋体"/>
                <w:i w:val="0"/>
                <w:color w:val="000000"/>
                <w:sz w:val="20"/>
                <w:szCs w:val="20"/>
                <w:u w:val="none"/>
              </w:rPr>
            </w:pPr>
          </w:p>
        </w:tc>
        <w:tc>
          <w:tcPr>
            <w:tcW w:w="69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B0962D6">
            <w:pPr>
              <w:rPr>
                <w:rFonts w:hint="default" w:ascii="宋体" w:hAnsi="宋体" w:eastAsia="宋体" w:cs="宋体"/>
                <w:i w:val="0"/>
                <w:color w:val="000000"/>
                <w:sz w:val="20"/>
                <w:szCs w:val="20"/>
                <w:u w:val="none"/>
                <w:lang w:val="en-US" w:eastAsia="zh-CN"/>
              </w:rPr>
            </w:pPr>
          </w:p>
        </w:tc>
        <w:tc>
          <w:tcPr>
            <w:tcW w:w="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9E00EAE">
            <w:pPr>
              <w:rPr>
                <w:rFonts w:hint="eastAsia" w:ascii="宋体" w:hAnsi="宋体" w:eastAsia="宋体" w:cs="宋体"/>
                <w:i w:val="0"/>
                <w:color w:val="000000"/>
                <w:sz w:val="20"/>
                <w:szCs w:val="20"/>
                <w:u w:val="none"/>
              </w:rPr>
            </w:pPr>
          </w:p>
        </w:tc>
        <w:tc>
          <w:tcPr>
            <w:tcW w:w="9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3757507">
            <w:pPr>
              <w:rPr>
                <w:rFonts w:hint="eastAsia" w:ascii="宋体" w:hAnsi="宋体" w:eastAsia="宋体" w:cs="宋体"/>
                <w:i w:val="0"/>
                <w:color w:val="000000"/>
                <w:sz w:val="20"/>
                <w:szCs w:val="20"/>
                <w:u w:val="none"/>
              </w:rPr>
            </w:pPr>
          </w:p>
        </w:tc>
        <w:tc>
          <w:tcPr>
            <w:tcW w:w="61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5BC188C">
            <w:pPr>
              <w:rPr>
                <w:rFonts w:hint="default" w:ascii="宋体" w:hAnsi="宋体" w:eastAsia="宋体" w:cs="宋体"/>
                <w:i w:val="0"/>
                <w:color w:val="000000"/>
                <w:sz w:val="20"/>
                <w:szCs w:val="20"/>
                <w:u w:val="none"/>
                <w:lang w:val="en-US" w:eastAsia="zh-CN"/>
              </w:rPr>
            </w:pPr>
          </w:p>
        </w:tc>
      </w:tr>
    </w:tbl>
    <w:p w14:paraId="7100A6A6">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rFonts w:hint="eastAsia" w:ascii="黑体" w:hAnsi="黑体" w:eastAsia="黑体"/>
          <w:szCs w:val="32"/>
        </w:rPr>
      </w:pPr>
      <w:r>
        <w:rPr>
          <w:rFonts w:hint="eastAsia" w:ascii="仿宋_GB2312" w:hAnsi="仿宋"/>
          <w:sz w:val="21"/>
          <w:szCs w:val="21"/>
          <w:lang w:val="en-US" w:eastAsia="zh-CN"/>
        </w:rPr>
        <w:t>注：本表反映部门本年度一般公共预算财政拨款“三公”经费支出预决算情况。其中，预算数为“三公”经费全年预算数，反映按规定程序调整后的预算数;决算数是包括当年一般公共预算财政拨款和以前年度结转资金安排的实际支出。</w:t>
      </w:r>
      <w:r>
        <w:rPr>
          <w:rFonts w:hint="eastAsia" w:ascii="仿宋_GB2312" w:hAnsi="仿宋"/>
          <w:sz w:val="21"/>
          <w:szCs w:val="21"/>
          <w:lang w:eastAsia="zh-CN"/>
        </w:rPr>
        <w:t xml:space="preserve"> </w:t>
      </w:r>
      <w:r>
        <w:rPr>
          <w:rFonts w:hint="eastAsia" w:ascii="仿宋_GB2312" w:hAnsi="仿宋"/>
          <w:szCs w:val="32"/>
          <w:lang w:eastAsia="zh-CN"/>
        </w:rPr>
        <w:t xml:space="preserve"> </w:t>
      </w:r>
      <w:r>
        <w:rPr>
          <w:rFonts w:hint="eastAsia" w:ascii="黑体" w:hAnsi="黑体" w:eastAsia="黑体"/>
          <w:szCs w:val="32"/>
        </w:rPr>
        <w:t xml:space="preserve">                                            </w:t>
      </w:r>
    </w:p>
    <w:p w14:paraId="57A7AE80">
      <w:pPr>
        <w:rPr>
          <w:rFonts w:hint="eastAsia" w:ascii="黑体" w:hAnsi="黑体" w:eastAsia="黑体"/>
          <w:szCs w:val="32"/>
        </w:rPr>
      </w:pPr>
      <w:r>
        <w:rPr>
          <w:rFonts w:ascii="黑体" w:hAnsi="黑体" w:eastAsia="黑体"/>
          <w:szCs w:val="32"/>
        </w:rPr>
        <w:t xml:space="preserve">    </w:t>
      </w:r>
      <w:r>
        <w:rPr>
          <w:rFonts w:hint="eastAsia" w:ascii="黑体" w:hAnsi="黑体" w:eastAsia="黑体"/>
          <w:szCs w:val="32"/>
        </w:rPr>
        <w:t>二</w:t>
      </w:r>
      <w:r>
        <w:rPr>
          <w:rFonts w:ascii="黑体" w:hAnsi="黑体" w:eastAsia="黑体"/>
          <w:szCs w:val="32"/>
        </w:rPr>
        <w:t>、</w:t>
      </w:r>
      <w:r>
        <w:rPr>
          <w:rFonts w:hint="eastAsia" w:ascii="黑体" w:hAnsi="黑体" w:eastAsia="黑体"/>
          <w:szCs w:val="32"/>
          <w:lang w:eastAsia="zh-CN"/>
        </w:rPr>
        <w:t>202</w:t>
      </w:r>
      <w:r>
        <w:rPr>
          <w:rFonts w:hint="eastAsia" w:ascii="黑体" w:hAnsi="黑体" w:eastAsia="黑体"/>
          <w:szCs w:val="32"/>
          <w:lang w:val="en-US" w:eastAsia="zh-CN"/>
        </w:rPr>
        <w:t>4</w:t>
      </w:r>
      <w:r>
        <w:rPr>
          <w:rFonts w:ascii="黑体" w:hAnsi="黑体" w:eastAsia="黑体"/>
          <w:szCs w:val="32"/>
        </w:rPr>
        <w:t>年</w:t>
      </w:r>
      <w:r>
        <w:rPr>
          <w:rFonts w:hint="eastAsia" w:ascii="黑体" w:hAnsi="黑体" w:eastAsia="黑体"/>
          <w:szCs w:val="32"/>
        </w:rPr>
        <w:t>度一般公共预算财政拨款“三公”经费支出</w:t>
      </w:r>
      <w:r>
        <w:rPr>
          <w:rFonts w:ascii="黑体" w:hAnsi="黑体" w:eastAsia="黑体"/>
          <w:szCs w:val="32"/>
        </w:rPr>
        <w:t>情况说明</w:t>
      </w:r>
    </w:p>
    <w:p w14:paraId="466F1634">
      <w:pPr>
        <w:ind w:firstLine="628" w:firstLineChars="200"/>
        <w:rPr>
          <w:rFonts w:hint="eastAsia" w:ascii="仿宋_GB2312" w:hAnsi="仿宋"/>
          <w:b/>
          <w:szCs w:val="32"/>
        </w:rPr>
      </w:pPr>
      <w:r>
        <w:rPr>
          <w:rFonts w:hint="eastAsia" w:ascii="仿宋_GB2312" w:hAnsi="仿宋"/>
          <w:b/>
          <w:szCs w:val="32"/>
        </w:rPr>
        <w:t>（一）一般公共预算财政拨款“三公”经费支出决算总体情况说明。</w:t>
      </w:r>
    </w:p>
    <w:p w14:paraId="4244D055">
      <w:pPr>
        <w:ind w:firstLine="628" w:firstLineChars="200"/>
        <w:rPr>
          <w:rFonts w:hint="default" w:ascii="楷体_GB2312" w:hAnsi="仿宋" w:eastAsia="楷体_GB2312"/>
          <w:szCs w:val="32"/>
          <w:lang w:val="en-US"/>
        </w:rPr>
      </w:pPr>
      <w:r>
        <w:rPr>
          <w:rFonts w:hint="eastAsia" w:ascii="仿宋_GB2312" w:hAnsi="仿宋"/>
          <w:szCs w:val="32"/>
          <w:lang w:eastAsia="zh-CN"/>
        </w:rPr>
        <w:t>淮南市潘集区祁集中学202</w:t>
      </w:r>
      <w:r>
        <w:rPr>
          <w:rFonts w:hint="eastAsia" w:ascii="仿宋_GB2312" w:hAnsi="仿宋"/>
          <w:szCs w:val="32"/>
          <w:lang w:val="en-US" w:eastAsia="zh-CN"/>
        </w:rPr>
        <w:t>4</w:t>
      </w:r>
      <w:r>
        <w:rPr>
          <w:rFonts w:hint="eastAsia" w:ascii="仿宋_GB2312" w:hAnsi="仿宋"/>
          <w:szCs w:val="32"/>
        </w:rPr>
        <w:t>年度一般公共预算财政拨款“三公”经费支出预算为</w:t>
      </w:r>
      <w:r>
        <w:rPr>
          <w:rFonts w:hint="eastAsia" w:ascii="仿宋_GB2312" w:hAnsi="仿宋"/>
          <w:szCs w:val="32"/>
          <w:lang w:val="en-US" w:eastAsia="zh-CN"/>
        </w:rPr>
        <w:t>0.00</w:t>
      </w:r>
      <w:r>
        <w:rPr>
          <w:rFonts w:hint="eastAsia" w:ascii="仿宋_GB2312" w:hAnsi="仿宋"/>
          <w:szCs w:val="32"/>
        </w:rPr>
        <w:t>万元，支出决算</w:t>
      </w:r>
      <w:r>
        <w:rPr>
          <w:rFonts w:hint="eastAsia" w:ascii="仿宋_GB2312" w:hAnsi="仿宋"/>
          <w:szCs w:val="32"/>
          <w:lang w:eastAsia="zh-CN"/>
        </w:rPr>
        <w:t>为</w:t>
      </w:r>
      <w:r>
        <w:rPr>
          <w:rFonts w:hint="eastAsia" w:ascii="仿宋_GB2312" w:hAnsi="仿宋"/>
          <w:szCs w:val="32"/>
          <w:lang w:val="en-US" w:eastAsia="zh-CN"/>
        </w:rPr>
        <w:t>0.00</w:t>
      </w:r>
      <w:r>
        <w:rPr>
          <w:rFonts w:hint="eastAsia" w:ascii="仿宋_GB2312" w:hAnsi="仿宋"/>
          <w:szCs w:val="32"/>
        </w:rPr>
        <w:t>万元</w:t>
      </w:r>
      <w:r>
        <w:rPr>
          <w:rFonts w:hint="eastAsia" w:ascii="仿宋_GB2312" w:hAnsi="仿宋"/>
          <w:szCs w:val="32"/>
          <w:lang w:eastAsia="zh-CN"/>
        </w:rPr>
        <w:t>，</w:t>
      </w:r>
      <w:r>
        <w:rPr>
          <w:rFonts w:hint="eastAsia" w:ascii="仿宋_GB2312" w:hAnsi="仿宋"/>
          <w:szCs w:val="32"/>
        </w:rPr>
        <w:t>完成预算的</w:t>
      </w:r>
      <w:r>
        <w:rPr>
          <w:rFonts w:hint="eastAsia" w:ascii="仿宋_GB2312" w:hAnsi="仿宋"/>
          <w:szCs w:val="32"/>
          <w:lang w:val="en-US" w:eastAsia="zh-CN"/>
        </w:rPr>
        <w:t>0.0</w:t>
      </w:r>
      <w:r>
        <w:rPr>
          <w:rFonts w:hint="eastAsia" w:ascii="仿宋_GB2312" w:hAnsi="仿宋"/>
          <w:szCs w:val="32"/>
        </w:rPr>
        <w:t>%</w:t>
      </w:r>
      <w:r>
        <w:rPr>
          <w:rFonts w:hint="eastAsia" w:ascii="仿宋_GB2312" w:hAnsi="仿宋"/>
          <w:szCs w:val="32"/>
          <w:lang w:eastAsia="zh-CN"/>
        </w:rPr>
        <w:t>；</w:t>
      </w:r>
      <w:r>
        <w:rPr>
          <w:rFonts w:hint="eastAsia" w:ascii="仿宋_GB2312" w:hAnsi="仿宋" w:cs="Times New Roman"/>
          <w:szCs w:val="32"/>
          <w:lang w:eastAsia="zh-CN"/>
        </w:rPr>
        <w:t>较上年</w:t>
      </w:r>
      <w:r>
        <w:rPr>
          <w:rFonts w:hint="eastAsia" w:ascii="仿宋_GB2312" w:hAnsi="仿宋" w:cs="Times New Roman"/>
          <w:szCs w:val="32"/>
          <w:lang w:val="en-US" w:eastAsia="zh-CN"/>
        </w:rPr>
        <w:t>无变动，2024年无“三公”经费支出。</w:t>
      </w:r>
    </w:p>
    <w:p w14:paraId="482848C1">
      <w:pPr>
        <w:ind w:firstLine="628" w:firstLineChars="200"/>
        <w:rPr>
          <w:rFonts w:hint="eastAsia" w:ascii="仿宋_GB2312" w:hAnsi="仿宋"/>
          <w:b/>
          <w:szCs w:val="32"/>
        </w:rPr>
      </w:pPr>
      <w:r>
        <w:rPr>
          <w:rFonts w:hint="eastAsia" w:ascii="仿宋_GB2312" w:hAnsi="仿宋"/>
          <w:b/>
          <w:bCs/>
          <w:szCs w:val="32"/>
        </w:rPr>
        <w:t>（二）</w:t>
      </w:r>
      <w:r>
        <w:rPr>
          <w:rFonts w:hint="eastAsia" w:ascii="仿宋_GB2312" w:hAnsi="仿宋"/>
          <w:b/>
          <w:szCs w:val="32"/>
        </w:rPr>
        <w:t>一般公共预算财政拨款“三公”经费支出决算具体情况说明。</w:t>
      </w:r>
    </w:p>
    <w:p w14:paraId="4BF1D38B">
      <w:pPr>
        <w:ind w:firstLine="628" w:firstLineChars="200"/>
        <w:rPr>
          <w:rFonts w:hint="eastAsia" w:ascii="仿宋_GB2312" w:hAnsi="仿宋"/>
          <w:szCs w:val="32"/>
        </w:rPr>
      </w:pPr>
      <w:r>
        <w:rPr>
          <w:rFonts w:hint="eastAsia" w:ascii="仿宋_GB2312" w:hAnsi="仿宋"/>
          <w:szCs w:val="32"/>
          <w:lang w:eastAsia="zh-CN"/>
        </w:rPr>
        <w:t>淮南市潘集区祁集中学202</w:t>
      </w:r>
      <w:r>
        <w:rPr>
          <w:rFonts w:hint="eastAsia" w:ascii="仿宋_GB2312" w:hAnsi="仿宋"/>
          <w:szCs w:val="32"/>
          <w:lang w:val="en-US" w:eastAsia="zh-CN"/>
        </w:rPr>
        <w:t>4</w:t>
      </w:r>
      <w:r>
        <w:rPr>
          <w:rFonts w:hint="eastAsia" w:ascii="仿宋_GB2312" w:hAnsi="仿宋"/>
          <w:szCs w:val="32"/>
        </w:rPr>
        <w:t>年度一般公共预算财政拨款“三公”经费支出决算中，因公出国（境）费支出决算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%;公务接待费支出决算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%；公务用车购置及运行维护费支出决算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%。具体情况如下：</w:t>
      </w:r>
    </w:p>
    <w:p w14:paraId="4CC75A0E">
      <w:pPr>
        <w:ind w:firstLine="628"/>
        <w:rPr>
          <w:rFonts w:hint="eastAsia" w:ascii="仿宋_GB2312" w:hAnsi="仿宋"/>
          <w:szCs w:val="32"/>
        </w:rPr>
      </w:pPr>
      <w:r>
        <w:rPr>
          <w:rFonts w:hint="eastAsia" w:ascii="仿宋_GB2312" w:hAnsi="仿宋"/>
          <w:b/>
          <w:bCs/>
          <w:szCs w:val="32"/>
        </w:rPr>
        <w:t>1.因公出国（境）费</w:t>
      </w:r>
      <w:r>
        <w:rPr>
          <w:rFonts w:hint="eastAsia" w:ascii="仿宋_GB2312" w:hAnsi="仿宋"/>
          <w:b/>
          <w:bCs/>
          <w:szCs w:val="32"/>
          <w:lang w:eastAsia="zh-CN"/>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lang w:eastAsia="zh-CN"/>
        </w:rPr>
        <w:t>年没有安排</w:t>
      </w:r>
      <w:r>
        <w:rPr>
          <w:rFonts w:hint="eastAsia" w:ascii="仿宋_GB2312" w:hAnsi="仿宋"/>
          <w:szCs w:val="32"/>
          <w:lang w:val="en-US" w:eastAsia="zh-CN"/>
        </w:rPr>
        <w:t>因公出国（境）费，</w:t>
      </w:r>
      <w:r>
        <w:rPr>
          <w:rFonts w:hint="eastAsia" w:ascii="仿宋_GB2312" w:hAnsi="仿宋"/>
          <w:szCs w:val="32"/>
          <w:lang w:eastAsia="zh-CN"/>
        </w:rPr>
        <w:t>预算为</w:t>
      </w:r>
      <w:r>
        <w:rPr>
          <w:rFonts w:hint="eastAsia" w:ascii="仿宋_GB2312" w:hAnsi="仿宋"/>
          <w:szCs w:val="32"/>
          <w:lang w:val="en-US" w:eastAsia="zh-CN"/>
        </w:rPr>
        <w:t>0.00</w:t>
      </w:r>
      <w:r>
        <w:rPr>
          <w:rFonts w:hint="eastAsia" w:ascii="仿宋_GB2312" w:hAnsi="仿宋"/>
          <w:szCs w:val="32"/>
          <w:lang w:eastAsia="zh-CN"/>
        </w:rPr>
        <w:t>万元，支出决算为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w:t>
      </w:r>
      <w:r>
        <w:rPr>
          <w:rFonts w:hint="eastAsia" w:ascii="仿宋_GB2312" w:hAnsi="仿宋"/>
          <w:szCs w:val="32"/>
          <w:lang w:val="en-US" w:eastAsia="zh-CN"/>
        </w:rPr>
        <w:t>较上年无变化。</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w:t>
      </w:r>
      <w:r>
        <w:rPr>
          <w:rFonts w:hint="eastAsia" w:ascii="仿宋_GB2312" w:hAnsi="仿宋"/>
          <w:szCs w:val="32"/>
          <w:lang w:eastAsia="zh-CN"/>
        </w:rPr>
        <w:t>淮南市潘集区祁集中学</w:t>
      </w:r>
      <w:r>
        <w:rPr>
          <w:rFonts w:hint="eastAsia" w:ascii="仿宋_GB2312" w:hAnsi="仿宋"/>
          <w:szCs w:val="32"/>
        </w:rPr>
        <w:t>因公出国（境）团组</w:t>
      </w:r>
      <w:r>
        <w:rPr>
          <w:rFonts w:hint="eastAsia" w:ascii="仿宋_GB2312" w:hAnsi="仿宋"/>
          <w:szCs w:val="32"/>
          <w:lang w:val="en-US" w:eastAsia="zh-CN"/>
        </w:rPr>
        <w:t>0</w:t>
      </w:r>
      <w:r>
        <w:rPr>
          <w:rFonts w:hint="eastAsia" w:ascii="仿宋_GB2312" w:hAnsi="仿宋"/>
          <w:szCs w:val="32"/>
        </w:rPr>
        <w:t>次，累计出国（境）</w:t>
      </w:r>
      <w:r>
        <w:rPr>
          <w:rFonts w:hint="eastAsia" w:ascii="仿宋_GB2312" w:hAnsi="仿宋"/>
          <w:szCs w:val="32"/>
          <w:lang w:val="en-US" w:eastAsia="zh-CN"/>
        </w:rPr>
        <w:t>0</w:t>
      </w:r>
      <w:r>
        <w:rPr>
          <w:rFonts w:hint="eastAsia" w:ascii="仿宋_GB2312" w:hAnsi="仿宋"/>
          <w:szCs w:val="32"/>
        </w:rPr>
        <w:t>人次。经费使用严格按照《淮南市市直党政机关因公临时出国经费管理办法》（淮财行政〔2014〕65号）等相关规定执行。</w:t>
      </w:r>
    </w:p>
    <w:p w14:paraId="3E09C363">
      <w:pPr>
        <w:ind w:firstLine="628" w:firstLineChars="200"/>
        <w:rPr>
          <w:rFonts w:hint="eastAsia" w:ascii="仿宋_GB2312" w:hAnsi="仿宋"/>
          <w:szCs w:val="32"/>
        </w:rPr>
      </w:pPr>
      <w:r>
        <w:rPr>
          <w:rFonts w:hint="eastAsia" w:ascii="仿宋_GB2312" w:hAnsi="仿宋"/>
          <w:b/>
          <w:bCs/>
          <w:szCs w:val="32"/>
        </w:rPr>
        <w:t>2.公务接待费</w:t>
      </w:r>
      <w:r>
        <w:rPr>
          <w:rFonts w:hint="eastAsia" w:ascii="仿宋_GB2312" w:hAnsi="仿宋"/>
          <w:b/>
          <w:bCs/>
          <w:szCs w:val="32"/>
          <w:lang w:eastAsia="zh-CN"/>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lang w:eastAsia="zh-CN"/>
        </w:rPr>
        <w:t>年没有安排</w:t>
      </w:r>
      <w:r>
        <w:rPr>
          <w:rFonts w:hint="eastAsia" w:ascii="仿宋_GB2312" w:hAnsi="仿宋"/>
          <w:szCs w:val="32"/>
          <w:lang w:val="en-US" w:eastAsia="zh-CN"/>
        </w:rPr>
        <w:t>公务接待，</w:t>
      </w:r>
      <w:r>
        <w:rPr>
          <w:rFonts w:hint="eastAsia" w:ascii="仿宋_GB2312" w:hAnsi="仿宋"/>
          <w:szCs w:val="32"/>
          <w:lang w:eastAsia="zh-CN"/>
        </w:rPr>
        <w:t>预算为</w:t>
      </w:r>
      <w:r>
        <w:rPr>
          <w:rFonts w:hint="eastAsia" w:ascii="仿宋_GB2312" w:hAnsi="仿宋"/>
          <w:szCs w:val="32"/>
          <w:lang w:val="en-US" w:eastAsia="zh-CN"/>
        </w:rPr>
        <w:t>0.00</w:t>
      </w:r>
      <w:r>
        <w:rPr>
          <w:rFonts w:hint="eastAsia" w:ascii="仿宋_GB2312" w:hAnsi="仿宋"/>
          <w:szCs w:val="32"/>
          <w:lang w:eastAsia="zh-CN"/>
        </w:rPr>
        <w:t>万元，支出决算为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%；较上年</w:t>
      </w:r>
      <w:r>
        <w:rPr>
          <w:rFonts w:hint="eastAsia" w:ascii="仿宋_GB2312" w:hAnsi="仿宋"/>
          <w:szCs w:val="32"/>
          <w:lang w:val="en-US" w:eastAsia="zh-CN"/>
        </w:rPr>
        <w:t>无变化</w:t>
      </w:r>
      <w:r>
        <w:rPr>
          <w:rFonts w:hint="eastAsia" w:ascii="仿宋_GB2312" w:hAnsi="仿宋"/>
          <w:szCs w:val="32"/>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w:t>
      </w:r>
      <w:r>
        <w:rPr>
          <w:rFonts w:hint="eastAsia" w:ascii="仿宋_GB2312" w:hAnsi="仿宋"/>
          <w:szCs w:val="32"/>
          <w:lang w:eastAsia="zh-CN"/>
        </w:rPr>
        <w:t>淮南市潘集区祁集中学</w:t>
      </w:r>
      <w:r>
        <w:rPr>
          <w:rFonts w:hint="eastAsia" w:ascii="仿宋_GB2312" w:hAnsi="仿宋"/>
          <w:szCs w:val="32"/>
        </w:rPr>
        <w:t>国内公务接待共</w:t>
      </w:r>
      <w:r>
        <w:rPr>
          <w:rFonts w:hint="eastAsia" w:ascii="仿宋_GB2312" w:hAnsi="仿宋"/>
          <w:szCs w:val="32"/>
          <w:lang w:val="en-US" w:eastAsia="zh-CN"/>
        </w:rPr>
        <w:t>0</w:t>
      </w:r>
      <w:r>
        <w:rPr>
          <w:rFonts w:hint="eastAsia" w:ascii="仿宋_GB2312" w:hAnsi="仿宋"/>
          <w:szCs w:val="32"/>
        </w:rPr>
        <w:t>批次（其中外事接待</w:t>
      </w:r>
      <w:r>
        <w:rPr>
          <w:rFonts w:hint="eastAsia" w:ascii="仿宋_GB2312" w:hAnsi="仿宋"/>
          <w:szCs w:val="32"/>
          <w:lang w:val="en-US" w:eastAsia="zh-CN"/>
        </w:rPr>
        <w:t>0</w:t>
      </w:r>
      <w:r>
        <w:rPr>
          <w:rFonts w:hint="eastAsia" w:ascii="仿宋_GB2312" w:hAnsi="仿宋"/>
          <w:szCs w:val="32"/>
        </w:rPr>
        <w:t>批次），</w:t>
      </w:r>
      <w:r>
        <w:rPr>
          <w:rFonts w:hint="eastAsia" w:ascii="仿宋_GB2312" w:hAnsi="仿宋"/>
          <w:szCs w:val="32"/>
          <w:lang w:val="en-US" w:eastAsia="zh-CN"/>
        </w:rPr>
        <w:t>0</w:t>
      </w:r>
      <w:r>
        <w:rPr>
          <w:rFonts w:hint="eastAsia" w:ascii="仿宋_GB2312" w:hAnsi="仿宋"/>
          <w:szCs w:val="32"/>
        </w:rPr>
        <w:t>人次（其中外事接待</w:t>
      </w:r>
      <w:r>
        <w:rPr>
          <w:rFonts w:hint="eastAsia" w:ascii="仿宋_GB2312" w:hAnsi="仿宋"/>
          <w:szCs w:val="32"/>
          <w:lang w:val="en-US" w:eastAsia="zh-CN"/>
        </w:rPr>
        <w:t>0</w:t>
      </w:r>
      <w:r>
        <w:rPr>
          <w:rFonts w:hint="eastAsia" w:ascii="仿宋_GB2312" w:hAnsi="仿宋"/>
          <w:szCs w:val="32"/>
        </w:rPr>
        <w:t>人次）。经费使用贯彻中央八项规定</w:t>
      </w:r>
      <w:r>
        <w:rPr>
          <w:rFonts w:hint="eastAsia" w:ascii="仿宋_GB2312" w:hAnsi="仿宋"/>
          <w:szCs w:val="32"/>
          <w:lang w:eastAsia="zh-CN"/>
        </w:rPr>
        <w:t>精神</w:t>
      </w:r>
      <w:r>
        <w:rPr>
          <w:rFonts w:hint="eastAsia" w:ascii="仿宋_GB2312" w:hAnsi="仿宋"/>
          <w:szCs w:val="32"/>
        </w:rPr>
        <w:t>和</w:t>
      </w:r>
      <w:r>
        <w:rPr>
          <w:rFonts w:hint="eastAsia" w:ascii="仿宋_GB2312" w:hAnsi="仿宋"/>
          <w:szCs w:val="32"/>
          <w:lang w:val="en-US" w:eastAsia="zh-CN"/>
        </w:rPr>
        <w:t>区</w:t>
      </w:r>
      <w:r>
        <w:rPr>
          <w:rFonts w:hint="eastAsia" w:ascii="仿宋_GB2312" w:hAnsi="仿宋"/>
          <w:szCs w:val="32"/>
          <w:lang w:eastAsia="zh-CN"/>
        </w:rPr>
        <w:t>委</w:t>
      </w:r>
      <w:r>
        <w:rPr>
          <w:rFonts w:hint="eastAsia" w:ascii="仿宋_GB2312" w:hAnsi="仿宋"/>
          <w:szCs w:val="32"/>
        </w:rPr>
        <w:t>实</w:t>
      </w:r>
      <w:r>
        <w:rPr>
          <w:rFonts w:hint="eastAsia" w:ascii="仿宋_GB2312" w:hAnsi="宋体" w:cs="宋体"/>
          <w:color w:val="282828"/>
          <w:kern w:val="0"/>
          <w:szCs w:val="32"/>
        </w:rPr>
        <w:t>施细则</w:t>
      </w:r>
      <w:r>
        <w:rPr>
          <w:rFonts w:hint="eastAsia" w:ascii="仿宋_GB2312" w:hAnsi="仿宋"/>
          <w:szCs w:val="32"/>
        </w:rPr>
        <w:t>，严格执行</w:t>
      </w:r>
      <w:r>
        <w:rPr>
          <w:rFonts w:hint="eastAsia" w:ascii="仿宋_GB2312" w:hAnsi="仿宋"/>
          <w:szCs w:val="32"/>
          <w:highlight w:val="none"/>
        </w:rPr>
        <w:t>《党政机关厉行节约反对浪费条例》、</w:t>
      </w:r>
      <w:r>
        <w:rPr>
          <w:rFonts w:hint="eastAsia" w:ascii="仿宋_GB2312" w:hAnsi="仿宋"/>
          <w:szCs w:val="32"/>
          <w:highlight w:val="none"/>
          <w:lang w:eastAsia="zh-CN"/>
        </w:rPr>
        <w:t>《</w:t>
      </w:r>
      <w:r>
        <w:rPr>
          <w:rFonts w:hint="eastAsia" w:ascii="仿宋_GB2312" w:hAnsi="仿宋"/>
          <w:szCs w:val="32"/>
          <w:highlight w:val="none"/>
          <w:lang w:val="en-US" w:eastAsia="zh-CN"/>
        </w:rPr>
        <w:t>潘集区党政机关公务接待管理实施细则</w:t>
      </w:r>
      <w:r>
        <w:rPr>
          <w:rFonts w:hint="eastAsia" w:ascii="仿宋_GB2312" w:hAnsi="仿宋"/>
          <w:szCs w:val="32"/>
          <w:highlight w:val="none"/>
          <w:lang w:eastAsia="zh-CN"/>
        </w:rPr>
        <w:t>》</w:t>
      </w:r>
      <w:r>
        <w:rPr>
          <w:rFonts w:hint="eastAsia" w:ascii="仿宋_GB2312" w:hAnsi="仿宋"/>
          <w:szCs w:val="32"/>
          <w:highlight w:val="none"/>
        </w:rPr>
        <w:t>（</w:t>
      </w:r>
      <w:r>
        <w:rPr>
          <w:rFonts w:hint="eastAsia" w:ascii="仿宋_GB2312" w:hAnsi="仿宋"/>
          <w:szCs w:val="32"/>
          <w:highlight w:val="none"/>
          <w:lang w:val="en-US" w:eastAsia="zh-CN"/>
        </w:rPr>
        <w:t>潘办发</w:t>
      </w:r>
      <w:r>
        <w:rPr>
          <w:rFonts w:hint="eastAsia" w:ascii="仿宋_GB2312" w:hAnsi="仿宋"/>
          <w:szCs w:val="32"/>
          <w:highlight w:val="none"/>
        </w:rPr>
        <w:t>〔20</w:t>
      </w:r>
      <w:r>
        <w:rPr>
          <w:rFonts w:hint="eastAsia" w:ascii="仿宋_GB2312" w:hAnsi="仿宋"/>
          <w:szCs w:val="32"/>
          <w:highlight w:val="none"/>
          <w:lang w:val="en-US" w:eastAsia="zh-CN"/>
        </w:rPr>
        <w:t>21</w:t>
      </w:r>
      <w:r>
        <w:rPr>
          <w:rFonts w:hint="eastAsia" w:ascii="仿宋_GB2312" w:hAnsi="仿宋"/>
          <w:szCs w:val="32"/>
          <w:highlight w:val="none"/>
        </w:rPr>
        <w:t>〕</w:t>
      </w:r>
      <w:r>
        <w:rPr>
          <w:rFonts w:hint="eastAsia" w:ascii="仿宋_GB2312" w:hAnsi="仿宋"/>
          <w:szCs w:val="32"/>
          <w:highlight w:val="none"/>
          <w:lang w:val="en-US" w:eastAsia="zh-CN"/>
        </w:rPr>
        <w:t>38</w:t>
      </w:r>
      <w:r>
        <w:rPr>
          <w:rFonts w:hint="eastAsia" w:ascii="仿宋_GB2312" w:hAnsi="仿宋"/>
          <w:szCs w:val="32"/>
          <w:highlight w:val="none"/>
        </w:rPr>
        <w:t>号）</w:t>
      </w:r>
      <w:r>
        <w:rPr>
          <w:rFonts w:hint="eastAsia" w:ascii="仿宋_GB2312" w:hAnsi="仿宋"/>
          <w:szCs w:val="32"/>
          <w:lang w:eastAsia="zh-CN"/>
        </w:rPr>
        <w:t>等</w:t>
      </w:r>
      <w:r>
        <w:rPr>
          <w:rFonts w:hint="eastAsia" w:ascii="仿宋_GB2312" w:hAnsi="仿宋"/>
          <w:szCs w:val="32"/>
        </w:rPr>
        <w:t>相关规定。</w:t>
      </w:r>
    </w:p>
    <w:p w14:paraId="0658886A">
      <w:pPr>
        <w:ind w:firstLine="628" w:firstLineChars="200"/>
        <w:rPr>
          <w:rFonts w:hint="eastAsia"/>
        </w:rPr>
      </w:pPr>
      <w:r>
        <w:rPr>
          <w:rFonts w:hint="eastAsia" w:ascii="仿宋_GB2312" w:hAnsi="仿宋"/>
          <w:b/>
          <w:bCs/>
          <w:szCs w:val="32"/>
        </w:rPr>
        <w:t>3.公务用车购置及运行维护费</w:t>
      </w:r>
      <w:r>
        <w:rPr>
          <w:rFonts w:hint="eastAsia" w:ascii="仿宋_GB2312" w:hAnsi="仿宋"/>
          <w:b/>
          <w:bCs/>
          <w:szCs w:val="32"/>
          <w:lang w:eastAsia="zh-CN"/>
        </w:rPr>
        <w:t>。</w:t>
      </w:r>
      <w:r>
        <w:rPr>
          <w:rFonts w:hint="eastAsia" w:ascii="楷体_GB2312" w:hAnsi="楷体_GB2312" w:eastAsia="楷体_GB2312" w:cs="楷体_GB2312"/>
          <w:szCs w:val="32"/>
          <w:highlight w:val="none"/>
          <w:lang w:eastAsia="zh-CN"/>
        </w:rPr>
        <w:t>202</w:t>
      </w:r>
      <w:r>
        <w:rPr>
          <w:rFonts w:hint="eastAsia" w:ascii="楷体_GB2312" w:hAnsi="楷体_GB2312" w:eastAsia="楷体_GB2312" w:cs="楷体_GB2312"/>
          <w:szCs w:val="32"/>
          <w:highlight w:val="none"/>
          <w:lang w:val="en-US" w:eastAsia="zh-CN"/>
        </w:rPr>
        <w:t>4</w:t>
      </w:r>
      <w:r>
        <w:rPr>
          <w:rFonts w:hint="eastAsia" w:ascii="楷体_GB2312" w:hAnsi="楷体_GB2312" w:eastAsia="楷体_GB2312" w:cs="楷体_GB2312"/>
          <w:szCs w:val="32"/>
          <w:highlight w:val="none"/>
        </w:rPr>
        <w:t>年没有安排公务用车购置</w:t>
      </w:r>
      <w:r>
        <w:rPr>
          <w:rFonts w:hint="eastAsia" w:ascii="楷体_GB2312" w:hAnsi="楷体_GB2312" w:eastAsia="楷体_GB2312" w:cs="楷体_GB2312"/>
          <w:szCs w:val="32"/>
          <w:highlight w:val="none"/>
          <w:lang w:val="en-US" w:eastAsia="zh-CN"/>
        </w:rPr>
        <w:t>及运行维护费，</w:t>
      </w:r>
      <w:r>
        <w:rPr>
          <w:rFonts w:hint="eastAsia" w:ascii="仿宋_GB2312" w:hAnsi="仿宋"/>
          <w:szCs w:val="32"/>
          <w:highlight w:val="none"/>
          <w:lang w:eastAsia="zh-CN"/>
        </w:rPr>
        <w:t>预算为</w:t>
      </w:r>
      <w:r>
        <w:rPr>
          <w:rFonts w:hint="eastAsia" w:ascii="仿宋_GB2312" w:hAnsi="仿宋"/>
          <w:szCs w:val="32"/>
          <w:highlight w:val="none"/>
          <w:lang w:val="en-US" w:eastAsia="zh-CN"/>
        </w:rPr>
        <w:t>0.00</w:t>
      </w:r>
      <w:r>
        <w:rPr>
          <w:rFonts w:hint="eastAsia" w:ascii="仿宋_GB2312" w:hAnsi="仿宋"/>
          <w:szCs w:val="32"/>
          <w:highlight w:val="none"/>
          <w:lang w:eastAsia="zh-CN"/>
        </w:rPr>
        <w:t>万元，支出决</w:t>
      </w:r>
      <w:r>
        <w:rPr>
          <w:rFonts w:hint="eastAsia" w:ascii="仿宋_GB2312" w:hAnsi="仿宋"/>
          <w:szCs w:val="32"/>
          <w:lang w:eastAsia="zh-CN"/>
        </w:rPr>
        <w:t>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%；较上年</w:t>
      </w:r>
      <w:r>
        <w:rPr>
          <w:rFonts w:hint="eastAsia" w:ascii="仿宋_GB2312" w:hAnsi="仿宋"/>
          <w:szCs w:val="32"/>
          <w:lang w:val="en-US" w:eastAsia="zh-CN"/>
        </w:rPr>
        <w:t>无变化</w:t>
      </w:r>
      <w:r>
        <w:rPr>
          <w:rFonts w:hint="eastAsia" w:ascii="仿宋_GB2312" w:hAnsi="仿宋"/>
          <w:szCs w:val="32"/>
        </w:rPr>
        <w:t>。公务用车运行维护费，包括车辆燃料费、维修费、过路过桥费、保险费等支出。截至</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年12月31日，</w:t>
      </w:r>
      <w:r>
        <w:rPr>
          <w:rFonts w:hint="eastAsia" w:ascii="仿宋_GB2312" w:hAnsi="仿宋"/>
          <w:szCs w:val="32"/>
          <w:lang w:eastAsia="zh-CN"/>
        </w:rPr>
        <w:t>淮南市潘集区祁集中学</w:t>
      </w:r>
      <w:r>
        <w:rPr>
          <w:rFonts w:hint="eastAsia" w:ascii="仿宋_GB2312" w:hAnsi="仿宋"/>
          <w:szCs w:val="32"/>
        </w:rPr>
        <w:t>机关开支财政拨款的公务用车保有量为</w:t>
      </w:r>
      <w:r>
        <w:rPr>
          <w:rFonts w:hint="eastAsia" w:ascii="仿宋_GB2312" w:hAnsi="仿宋"/>
          <w:szCs w:val="32"/>
          <w:lang w:val="en-US" w:eastAsia="zh-CN"/>
        </w:rPr>
        <w:t>0</w:t>
      </w:r>
      <w:r>
        <w:rPr>
          <w:rFonts w:hint="eastAsia" w:ascii="仿宋_GB2312" w:hAnsi="仿宋"/>
          <w:szCs w:val="32"/>
        </w:rPr>
        <w:t>辆。</w:t>
      </w:r>
    </w:p>
    <w:p w14:paraId="05C40F00"/>
    <w:sectPr>
      <w:footerReference r:id="rId3" w:type="default"/>
      <w:footerReference r:id="rId4" w:type="even"/>
      <w:pgSz w:w="11906" w:h="16838"/>
      <w:pgMar w:top="2155" w:right="1531" w:bottom="1588" w:left="1588" w:header="0" w:footer="1588" w:gutter="0"/>
      <w:pgBorders>
        <w:top w:val="none" w:sz="0" w:space="0"/>
        <w:left w:val="none" w:sz="0" w:space="0"/>
        <w:bottom w:val="none" w:sz="0" w:space="0"/>
        <w:right w:val="none" w:sz="0" w:space="0"/>
      </w:pgBorders>
      <w:cols w:space="720" w:num="1"/>
      <w:docGrid w:type="linesAndChars" w:linePitch="569" w:charSpace="-126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C02426">
    <w:pPr>
      <w:pStyle w:val="3"/>
      <w:framePr w:wrap="around" w:vAnchor="text" w:hAnchor="margin" w:xAlign="right" w:y="1"/>
      <w:rPr>
        <w:rStyle w:val="6"/>
        <w:rFonts w:ascii="仿宋_GB2312"/>
        <w:sz w:val="28"/>
      </w:rPr>
    </w:pPr>
    <w:r>
      <w:rPr>
        <w:rStyle w:val="6"/>
        <w:rFonts w:hint="eastAsia" w:ascii="仿宋_GB2312"/>
        <w:sz w:val="28"/>
      </w:rPr>
      <w:t>-</w:t>
    </w:r>
    <w:r>
      <w:rPr>
        <w:rFonts w:hint="eastAsia" w:ascii="仿宋_GB2312"/>
        <w:sz w:val="28"/>
        <w:szCs w:val="28"/>
      </w:rPr>
      <w:fldChar w:fldCharType="begin"/>
    </w:r>
    <w:r>
      <w:rPr>
        <w:rStyle w:val="6"/>
        <w:rFonts w:hint="eastAsia" w:ascii="仿宋_GB2312"/>
        <w:sz w:val="28"/>
        <w:szCs w:val="28"/>
      </w:rPr>
      <w:instrText xml:space="preserve"> PAGE </w:instrText>
    </w:r>
    <w:r>
      <w:rPr>
        <w:rFonts w:hint="eastAsia" w:ascii="仿宋_GB2312"/>
        <w:sz w:val="28"/>
        <w:szCs w:val="28"/>
      </w:rPr>
      <w:fldChar w:fldCharType="separate"/>
    </w:r>
    <w:r>
      <w:rPr>
        <w:rStyle w:val="6"/>
        <w:rFonts w:ascii="仿宋_GB2312"/>
        <w:sz w:val="28"/>
        <w:szCs w:val="28"/>
      </w:rPr>
      <w:t>50</w:t>
    </w:r>
    <w:r>
      <w:rPr>
        <w:rFonts w:hint="eastAsia" w:ascii="仿宋_GB2312"/>
        <w:sz w:val="28"/>
        <w:szCs w:val="28"/>
      </w:rPr>
      <w:fldChar w:fldCharType="end"/>
    </w:r>
    <w:r>
      <w:rPr>
        <w:rStyle w:val="6"/>
        <w:rFonts w:hint="eastAsia" w:ascii="仿宋_GB2312"/>
        <w:sz w:val="28"/>
        <w:szCs w:val="28"/>
      </w:rPr>
      <w:t>-</w:t>
    </w:r>
  </w:p>
  <w:p w14:paraId="63758273">
    <w:pPr>
      <w:pStyle w:val="3"/>
      <w:ind w:right="360"/>
      <w:jc w:val="right"/>
      <w:rPr>
        <w:rFonts w:hint="eastAsia" w:ascii="仿宋_GB2312"/>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2F33B">
    <w:pPr>
      <w:pStyle w:val="3"/>
      <w:framePr w:wrap="around" w:vAnchor="text" w:hAnchor="margin" w:xAlign="right" w:y="1"/>
      <w:rPr>
        <w:rStyle w:val="6"/>
      </w:rPr>
    </w:pPr>
    <w:r>
      <w:fldChar w:fldCharType="begin"/>
    </w:r>
    <w:r>
      <w:rPr>
        <w:rStyle w:val="6"/>
      </w:rPr>
      <w:instrText xml:space="preserve">PAGE  </w:instrText>
    </w:r>
    <w:r>
      <w:fldChar w:fldCharType="separate"/>
    </w:r>
    <w:r>
      <w:rPr>
        <w:rStyle w:val="6"/>
      </w:rPr>
      <w:t>1</w:t>
    </w:r>
    <w:r>
      <w:fldChar w:fldCharType="end"/>
    </w:r>
  </w:p>
  <w:p w14:paraId="0387E4A1">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3864FF"/>
    <w:rsid w:val="0D743422"/>
    <w:rsid w:val="0E7D07D6"/>
    <w:rsid w:val="16B810CC"/>
    <w:rsid w:val="185A7E8C"/>
    <w:rsid w:val="217F3103"/>
    <w:rsid w:val="341E46F2"/>
    <w:rsid w:val="3728158B"/>
    <w:rsid w:val="50654216"/>
    <w:rsid w:val="55F27611"/>
    <w:rsid w:val="56720C70"/>
    <w:rsid w:val="759B6B0F"/>
    <w:rsid w:val="776700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center"/>
    </w:pPr>
    <w:rPr>
      <w:rFonts w:eastAsia="黑体"/>
      <w:sz w:val="36"/>
    </w:rPr>
  </w:style>
  <w:style w:type="paragraph" w:styleId="3">
    <w:name w:val="footer"/>
    <w:basedOn w:val="1"/>
    <w:qFormat/>
    <w:uiPriority w:val="0"/>
    <w:pPr>
      <w:tabs>
        <w:tab w:val="center" w:pos="4153"/>
        <w:tab w:val="right" w:pos="8306"/>
      </w:tabs>
      <w:snapToGrid w:val="0"/>
      <w:jc w:val="left"/>
    </w:pPr>
    <w:rPr>
      <w:sz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971</Words>
  <Characters>1078</Characters>
  <Lines>0</Lines>
  <Paragraphs>0</Paragraphs>
  <TotalTime>1</TotalTime>
  <ScaleCrop>false</ScaleCrop>
  <LinksUpToDate>false</LinksUpToDate>
  <CharactersWithSpaces>1128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2025-09-16T07:59:00Z</dcterms:created>
  <dc:creator>UNIS</dc:creator>
  <cp:lastModifiedBy>一味苦茶</cp:lastModifiedBy>
  <dcterms:modified xsi:type="dcterms:W3CDTF">2025-09-25T00:51:48Z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eyJoZGlkIjoiYWZmYjcxOTk3ZDZlMDg3Y2U1YzMyOTZhZjExYTYyNjYiLCJ1c2VySWQiOiI5MTQyODk5MDQifQ==</vt:lpwstr>
  </property>
  <property fmtid="{D5CDD505-2E9C-101B-9397-08002B2CF9AE}" pid="4" name="ICV">
    <vt:lpwstr>A582941453174A36A4F296B8C367AF1F_13</vt:lpwstr>
  </property>
</Properties>
</file>