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76FC">
      <w:pPr>
        <w:spacing w:line="680" w:lineRule="exact"/>
        <w:ind w:firstLine="643" w:firstLineChars="20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</w:t>
      </w:r>
      <w:r>
        <w:rPr>
          <w:rFonts w:asciiTheme="minorEastAsia" w:hAnsiTheme="minorEastAsia" w:eastAsiaTheme="minorEastAsia"/>
          <w:b/>
          <w:sz w:val="32"/>
          <w:szCs w:val="32"/>
        </w:rPr>
        <w:t>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年度潘集区政府财政决算公开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目录</w:t>
      </w:r>
    </w:p>
    <w:p w14:paraId="7832770A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一、一般公共预算财政收支决算情况</w:t>
      </w:r>
    </w:p>
    <w:p w14:paraId="2E588EFC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二、政府性基金预算收支决算情况</w:t>
      </w:r>
      <w:r>
        <w:rPr>
          <w:rFonts w:hint="eastAsia" w:asciiTheme="majorEastAsia" w:hAnsiTheme="majorEastAsia" w:eastAsiaTheme="majorEastAsia"/>
          <w:sz w:val="32"/>
          <w:szCs w:val="32"/>
        </w:rPr>
        <w:tab/>
      </w:r>
    </w:p>
    <w:p w14:paraId="796BCA4F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三、社会保险基金收支决算情况</w:t>
      </w:r>
    </w:p>
    <w:p w14:paraId="5FB5BB4D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四、国有资本经营预算收支决算情况</w:t>
      </w:r>
    </w:p>
    <w:p w14:paraId="6261EA8C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五、政府转移性支付执行情况。</w:t>
      </w:r>
    </w:p>
    <w:p w14:paraId="1B0D6421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六、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一般公共预算</w:t>
      </w:r>
      <w:r>
        <w:rPr>
          <w:rFonts w:hint="eastAsia" w:asciiTheme="majorEastAsia" w:hAnsiTheme="majorEastAsia" w:eastAsiaTheme="majorEastAsia"/>
          <w:sz w:val="32"/>
          <w:szCs w:val="32"/>
        </w:rPr>
        <w:t>“三公”经费预算执行情况。</w:t>
      </w:r>
    </w:p>
    <w:p w14:paraId="355C1C98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七、政府性债务管理情况</w:t>
      </w:r>
    </w:p>
    <w:p w14:paraId="182947A3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八、预算绩效管理情况</w:t>
      </w:r>
    </w:p>
    <w:p w14:paraId="4D8B5D96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九、政府决算报告批复情况</w:t>
      </w:r>
    </w:p>
    <w:p w14:paraId="66CBD0C1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十、预算执行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32"/>
          <w:szCs w:val="32"/>
        </w:rPr>
        <w:t>情况说明</w:t>
      </w:r>
    </w:p>
    <w:p w14:paraId="4AC80DB4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附件1：关于20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年财政决算（草案）和202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</w:p>
    <w:p w14:paraId="5C5B32B2">
      <w:pPr>
        <w:spacing w:line="680" w:lineRule="exact"/>
        <w:ind w:firstLine="1760" w:firstLineChars="5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上半年财政预算执行情况的报告</w:t>
      </w:r>
    </w:p>
    <w:p w14:paraId="5113F3BE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附件2: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年潘集区政府性债务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决算情况</w:t>
      </w:r>
      <w:r>
        <w:rPr>
          <w:rFonts w:hint="eastAsia" w:asciiTheme="majorEastAsia" w:hAnsiTheme="majorEastAsia" w:eastAsiaTheme="majorEastAsia"/>
          <w:sz w:val="32"/>
          <w:szCs w:val="32"/>
        </w:rPr>
        <w:t>公开</w:t>
      </w:r>
    </w:p>
    <w:p w14:paraId="66C8437F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附件3：20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年潘集区预算绩效管理工作开展情况</w:t>
      </w:r>
    </w:p>
    <w:p w14:paraId="7542B561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附件4：202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年潘集区政府本级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</w:rPr>
        <w:t>“三公”</w:t>
      </w:r>
      <w:r>
        <w:rPr>
          <w:rFonts w:hint="eastAsia" w:asciiTheme="majorEastAsia" w:hAnsiTheme="majorEastAsia" w:eastAsiaTheme="majorEastAsia"/>
          <w:sz w:val="32"/>
          <w:szCs w:val="32"/>
        </w:rPr>
        <w:t>经费公开</w:t>
      </w:r>
      <w:r>
        <w:rPr>
          <w:rFonts w:asciiTheme="majorEastAsia" w:hAnsiTheme="majorEastAsia" w:eastAsiaTheme="majorEastAsia"/>
          <w:sz w:val="32"/>
          <w:szCs w:val="32"/>
        </w:rPr>
        <w:t xml:space="preserve"> </w:t>
      </w:r>
    </w:p>
    <w:p w14:paraId="02DE4AA3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附件5：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2024年</w:t>
      </w:r>
      <w:r>
        <w:rPr>
          <w:rFonts w:hint="eastAsia" w:asciiTheme="majorEastAsia" w:hAnsiTheme="majorEastAsia" w:eastAsiaTheme="majorEastAsia"/>
          <w:sz w:val="32"/>
          <w:szCs w:val="32"/>
        </w:rPr>
        <w:t>财政决算相关名词解释</w:t>
      </w:r>
    </w:p>
    <w:p w14:paraId="08083007">
      <w:pPr>
        <w:spacing w:line="680" w:lineRule="exact"/>
        <w:ind w:firstLine="640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  <w:r>
        <w:rPr>
          <w:rFonts w:asciiTheme="majorEastAsia" w:hAnsiTheme="majorEastAsia" w:eastAsiaTheme="majorEastAsia"/>
          <w:sz w:val="32"/>
          <w:szCs w:val="32"/>
        </w:rPr>
        <w:t>6</w:t>
      </w:r>
      <w:r>
        <w:rPr>
          <w:rFonts w:hint="eastAsia" w:asciiTheme="majorEastAsia" w:hAnsiTheme="majorEastAsia" w:eastAsiaTheme="majorEastAsia"/>
          <w:sz w:val="32"/>
          <w:szCs w:val="32"/>
        </w:rPr>
        <w:t>：20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年潘集区政府财政决算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各项</w:t>
      </w:r>
      <w:r>
        <w:rPr>
          <w:rFonts w:hint="eastAsia" w:asciiTheme="majorEastAsia" w:hAnsiTheme="majorEastAsia" w:eastAsiaTheme="majorEastAsia"/>
          <w:sz w:val="32"/>
          <w:szCs w:val="32"/>
        </w:rPr>
        <w:t>公开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附</w:t>
      </w:r>
      <w:r>
        <w:rPr>
          <w:rFonts w:hint="eastAsia" w:asciiTheme="majorEastAsia" w:hAnsiTheme="majorEastAsia" w:eastAsiaTheme="majorEastAsia"/>
          <w:sz w:val="32"/>
          <w:szCs w:val="32"/>
        </w:rPr>
        <w:t>表</w:t>
      </w:r>
    </w:p>
    <w:p w14:paraId="19E89A07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</w:p>
    <w:p w14:paraId="737FB7D0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</w:p>
    <w:p w14:paraId="5C87CB72">
      <w:pPr>
        <w:spacing w:line="680" w:lineRule="exact"/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一、一般公共预算财政收支决算情况</w:t>
      </w:r>
    </w:p>
    <w:p w14:paraId="0A7E6149">
      <w:pPr>
        <w:spacing w:line="680" w:lineRule="exact"/>
        <w:ind w:firstLine="643" w:firstLineChars="200"/>
        <w:rPr>
          <w:rFonts w:hint="eastAsia" w:cs="仿宋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 xml:space="preserve">（一）收入情况： 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202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年全区地方财政收入完成</w:t>
      </w:r>
      <w:bookmarkStart w:id="0" w:name="_Hlk114040367"/>
      <w:r>
        <w:rPr>
          <w:rFonts w:hint="eastAsia" w:cs="仿宋" w:asciiTheme="majorEastAsia" w:hAnsiTheme="majorEastAsia" w:eastAsiaTheme="majorEastAsia"/>
          <w:sz w:val="32"/>
          <w:szCs w:val="32"/>
        </w:rPr>
        <w:t>72258万元，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同比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增长14.35%，完成调整预算103.2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3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%。从收入结构看：税收收入完成58504万元，同比增长12.25%；非税收入完成13754万元，同比增长24.23%。</w:t>
      </w:r>
    </w:p>
    <w:p w14:paraId="27BA5866">
      <w:pPr>
        <w:spacing w:line="680" w:lineRule="exact"/>
        <w:ind w:firstLine="643" w:firstLineChars="200"/>
        <w:rPr>
          <w:rFonts w:hint="eastAsia" w:cs="仿宋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</w:rPr>
        <w:t>（二）</w:t>
      </w:r>
      <w:r>
        <w:rPr>
          <w:rFonts w:cs="仿宋" w:asciiTheme="majorEastAsia" w:hAnsiTheme="majorEastAsia" w:eastAsiaTheme="majorEastAsia"/>
          <w:b/>
          <w:bCs w:val="0"/>
          <w:sz w:val="32"/>
          <w:szCs w:val="32"/>
        </w:rPr>
        <w:t>财力情况：</w:t>
      </w:r>
      <w:bookmarkEnd w:id="0"/>
      <w:r>
        <w:rPr>
          <w:rFonts w:hint="eastAsia" w:cs="仿宋" w:asciiTheme="majorEastAsia" w:hAnsiTheme="majorEastAsia" w:eastAsiaTheme="majorEastAsia"/>
          <w:sz w:val="32"/>
          <w:szCs w:val="32"/>
        </w:rPr>
        <w:t>202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年全区一般公共预算总收入为249947万元，其中：地方一般公共预算收入72258万元；上级转移支付收入107080万元；调入资金14655万元；地方政府债务(转贷)收入4732万元；上年结转38619万元；动用预算稳定调节基金12603万元。</w:t>
      </w:r>
    </w:p>
    <w:p w14:paraId="2B233C9D">
      <w:pPr>
        <w:spacing w:line="680" w:lineRule="exact"/>
        <w:ind w:firstLine="643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）支出情况：</w:t>
      </w:r>
      <w:r>
        <w:rPr>
          <w:rFonts w:cs="仿宋" w:asciiTheme="majorEastAsia" w:hAnsiTheme="majorEastAsia" w:eastAsiaTheme="majorEastAsia"/>
          <w:sz w:val="32"/>
          <w:szCs w:val="32"/>
        </w:rPr>
        <w:t>202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年全区一般公共预算总支出240216万元，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同比增长18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.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23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%，其中：一般公共预算支出214046万元；上解支出21516万元；债务还本支出2396万元；安排预算稳定调节基金2258万元</w:t>
      </w:r>
      <w:r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  <w:t>。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年终结转9731万元。</w:t>
      </w:r>
    </w:p>
    <w:p w14:paraId="463D7078">
      <w:pPr>
        <w:spacing w:line="68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cs="仿宋" w:asciiTheme="majorEastAsia" w:hAnsiTheme="majorEastAsia" w:eastAsiaTheme="majorEastAsia"/>
          <w:sz w:val="32"/>
          <w:szCs w:val="32"/>
        </w:rPr>
        <w:t>一般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公共预算支出决算214046万元，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同比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增长19.71%。具体支出项目是：一般公共服务支出15568万元；国防支出219万元；公共安全支出818万元；教育支出36982万元；科学技术支出5201万元；文化旅游体育与传媒支出685万元；社会保障与就业支出46842万元；卫生健康支出16339万元；节能环保支出2549万元；城乡社区事务支出22337万元；农林水支出45005万元；交通运输支出5822万元；资源勘探信息等支出2164万元；自然资源海洋气象等支出359万元；住房保障支出9754万元；灾害防治及应急管理支出1691万元；债务付息支出1708万元；债务发行费用支出3万元</w:t>
      </w:r>
      <w:r>
        <w:rPr>
          <w:rFonts w:cs="仿宋" w:asciiTheme="majorEastAsia" w:hAnsiTheme="majorEastAsia" w:eastAsiaTheme="majorEastAsia"/>
          <w:sz w:val="32"/>
          <w:szCs w:val="32"/>
        </w:rPr>
        <w:t>。</w:t>
      </w:r>
    </w:p>
    <w:p w14:paraId="06601BDB">
      <w:pPr>
        <w:spacing w:line="680" w:lineRule="exact"/>
        <w:ind w:firstLine="643" w:firstLineChars="200"/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（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lang w:val="en-US" w:eastAsia="zh-CN"/>
        </w:rPr>
        <w:t>四</w:t>
      </w: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）</w:t>
      </w:r>
      <w:r>
        <w:rPr>
          <w:rFonts w:cs="仿宋" w:asciiTheme="majorEastAsia" w:hAnsiTheme="majorEastAsia" w:eastAsiaTheme="majorEastAsia"/>
          <w:b/>
          <w:sz w:val="32"/>
          <w:szCs w:val="32"/>
        </w:rPr>
        <w:t>平衡情况：</w:t>
      </w:r>
      <w:r>
        <w:rPr>
          <w:rFonts w:cs="仿宋" w:asciiTheme="majorEastAsia" w:hAnsiTheme="majorEastAsia" w:eastAsiaTheme="majorEastAsia"/>
          <w:sz w:val="32"/>
          <w:szCs w:val="32"/>
        </w:rPr>
        <w:t>202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全区一般公共预算总收入为249947万元，全区一般公共预算总支出240216万元，年终结转结余9731万元（见附表）</w:t>
      </w:r>
      <w:r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  <w:t>。</w:t>
      </w:r>
    </w:p>
    <w:p w14:paraId="6B31B319">
      <w:pPr>
        <w:spacing w:line="680" w:lineRule="exact"/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二、政府性基金预算收支决算情况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ab/>
      </w:r>
    </w:p>
    <w:p w14:paraId="31762F8F">
      <w:pPr>
        <w:spacing w:line="620" w:lineRule="exact"/>
        <w:ind w:firstLine="643" w:firstLineChars="200"/>
        <w:rPr>
          <w:rFonts w:hint="eastAsia" w:asciiTheme="majorEastAsia" w:hAnsiTheme="majorEastAsia" w:eastAsia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（一）收入情况</w:t>
      </w:r>
      <w:r>
        <w:rPr>
          <w:rFonts w:hint="eastAsia" w:asciiTheme="majorEastAsia" w:hAnsiTheme="majorEastAsia" w:eastAsiaTheme="majorEastAsia"/>
          <w:sz w:val="32"/>
          <w:szCs w:val="32"/>
        </w:rPr>
        <w:t>：</w:t>
      </w:r>
      <w:r>
        <w:rPr>
          <w:rFonts w:asciiTheme="majorEastAsia" w:hAnsiTheme="majorEastAsia" w:eastAsiaTheme="majorEastAsia"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Cs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Cs/>
          <w:sz w:val="32"/>
          <w:szCs w:val="32"/>
        </w:rPr>
        <w:t>年政府性基金预算收入1645万元，同比增长54.90%，完成调整预算143.66%，其中：城市基础设施配套费收入347万元；污水处理费收入986万元；专项债务对应项目专项收入312万元。</w:t>
      </w:r>
    </w:p>
    <w:p w14:paraId="666943BA">
      <w:pPr>
        <w:spacing w:line="520" w:lineRule="exact"/>
        <w:ind w:firstLine="643" w:firstLineChars="200"/>
        <w:rPr>
          <w:rFonts w:hint="eastAsia" w:cs="Times New Roman" w:asciiTheme="majorEastAsia" w:hAnsiTheme="majorEastAsia" w:eastAsiaTheme="majorEastAsia"/>
          <w:b w:val="0"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财力情况：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</w:rPr>
        <w:t>年全区政府性基金预算总收入为</w:t>
      </w:r>
      <w:r>
        <w:rPr>
          <w:rFonts w:hint="eastAsia" w:cs="Times New Roman" w:asciiTheme="majorEastAsia" w:hAnsiTheme="majorEastAsia" w:eastAsiaTheme="majorEastAsia"/>
          <w:b w:val="0"/>
          <w:bCs/>
          <w:sz w:val="32"/>
          <w:szCs w:val="32"/>
        </w:rPr>
        <w:t>90191万元，其中：地方政府性基金预算收入1645万元；转移性收入10689万元；地方政府债务(转贷)收入64424万元；调入资金5856万元；上年结转7577万元。</w:t>
      </w:r>
    </w:p>
    <w:p w14:paraId="3F5F2345">
      <w:pPr>
        <w:spacing w:line="620" w:lineRule="exact"/>
        <w:ind w:firstLine="643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）支出情况</w:t>
      </w:r>
      <w:r>
        <w:rPr>
          <w:rFonts w:hint="eastAsia" w:asciiTheme="majorEastAsia" w:hAnsiTheme="majorEastAsia" w:eastAsiaTheme="majorEastAsia"/>
          <w:sz w:val="32"/>
          <w:szCs w:val="32"/>
        </w:rPr>
        <w:t>：</w:t>
      </w:r>
      <w:r>
        <w:rPr>
          <w:rFonts w:cs="仿宋" w:asciiTheme="majorEastAsia" w:hAnsiTheme="majorEastAsia" w:eastAsiaTheme="majorEastAsia"/>
          <w:sz w:val="32"/>
          <w:szCs w:val="32"/>
        </w:rPr>
        <w:t>202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年政府性基金预算支出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87825万元，具体包括：城乡社区支出11712万元；农林水支出7万元；其他支出17075万元；债务付息支出6930万元；债务发行费用支出54万元；债务还本支出52047万元。年终结余2366万元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。</w:t>
      </w:r>
    </w:p>
    <w:p w14:paraId="6C56C198">
      <w:pPr>
        <w:spacing w:line="620" w:lineRule="exact"/>
        <w:ind w:firstLine="643" w:firstLineChars="200"/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</w:pPr>
      <w:bookmarkStart w:id="1" w:name="_Hlk114040544"/>
      <w:r>
        <w:rPr>
          <w:rFonts w:hint="eastAsia" w:asciiTheme="majorEastAsia" w:hAnsiTheme="majorEastAsia" w:eastAsiaTheme="majorEastAsia"/>
          <w:b/>
          <w:sz w:val="32"/>
          <w:szCs w:val="32"/>
        </w:rPr>
        <w:t>（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）</w:t>
      </w:r>
      <w:bookmarkEnd w:id="1"/>
      <w:r>
        <w:rPr>
          <w:rFonts w:hint="eastAsia" w:asciiTheme="majorEastAsia" w:hAnsiTheme="majorEastAsia" w:eastAsiaTheme="majorEastAsia"/>
          <w:b/>
          <w:sz w:val="32"/>
          <w:szCs w:val="32"/>
        </w:rPr>
        <w:t>平衡情况：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</w:rPr>
        <w:t>政府性基金收入决算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90191万元，政府性基金支出决算87825万元，年终结转结余2366万元（待下年支付）。</w:t>
      </w:r>
    </w:p>
    <w:p w14:paraId="73E10E8B">
      <w:pPr>
        <w:spacing w:line="680" w:lineRule="exact"/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三、社会保险基金收支决算情况</w:t>
      </w:r>
    </w:p>
    <w:p w14:paraId="1790D703">
      <w:pPr>
        <w:spacing w:line="620" w:lineRule="exact"/>
        <w:ind w:firstLine="640" w:firstLineChars="200"/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我区社会保险基金由市级统筹，区级决算报表无社会保险基金收支数据</w:t>
      </w:r>
      <w:r>
        <w:rPr>
          <w:rFonts w:hint="eastAsia" w:asciiTheme="majorEastAsia" w:hAnsiTheme="majorEastAsia" w:eastAsiaTheme="majorEastAsia"/>
          <w:sz w:val="32"/>
          <w:szCs w:val="32"/>
        </w:rPr>
        <w:t>（见附表）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。</w:t>
      </w:r>
    </w:p>
    <w:p w14:paraId="48ECFA3A">
      <w:pPr>
        <w:spacing w:line="680" w:lineRule="exact"/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四、国有资本经营预算收支决算情况</w:t>
      </w:r>
    </w:p>
    <w:p w14:paraId="3A1F896F">
      <w:pPr>
        <w:spacing w:line="58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年国有资本经营预算本级没有收入，上级转移支付收入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78</w:t>
      </w:r>
      <w:r>
        <w:rPr>
          <w:rFonts w:hint="eastAsia" w:asciiTheme="majorEastAsia" w:hAnsiTheme="majorEastAsia" w:eastAsiaTheme="majorEastAsia"/>
          <w:sz w:val="32"/>
          <w:szCs w:val="32"/>
        </w:rPr>
        <w:t>万元，主要是国有企业退休人员社会化管理补助资金，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支出55万元，结余23万元，</w:t>
      </w:r>
      <w:r>
        <w:rPr>
          <w:rFonts w:hint="eastAsia" w:asciiTheme="majorEastAsia" w:hAnsiTheme="majorEastAsia" w:eastAsiaTheme="majorEastAsia"/>
          <w:sz w:val="32"/>
          <w:szCs w:val="32"/>
        </w:rPr>
        <w:t>年终决算时转入一般公共预算结转下年继续使用（见附表）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。</w:t>
      </w:r>
    </w:p>
    <w:p w14:paraId="2D1F5FD7">
      <w:pPr>
        <w:numPr>
          <w:ilvl w:val="0"/>
          <w:numId w:val="0"/>
        </w:numPr>
        <w:spacing w:line="620" w:lineRule="exact"/>
        <w:ind w:firstLine="643" w:firstLineChars="200"/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五、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政府转移性支付执行情况。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一般公共预算上级转移支付补助资金107080万元，其中：财力性补助35570万元；共同事权补助44151万元；专项转移支付补助27359万元。政府性基金上级转移支付补助资金10689万元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。</w:t>
      </w:r>
    </w:p>
    <w:p w14:paraId="505A344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2"/>
        <w:jc w:val="center"/>
        <w:textAlignment w:val="bottom"/>
        <w:rPr>
          <w:rFonts w:hint="eastAsia" w:asciiTheme="majorEastAsia" w:hAnsiTheme="majorEastAsia" w:eastAsia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六、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一般公共预算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“三公”经费预算执行情况。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年,我区从严从紧控制“三公”经费支出，大力压减一般性支出。202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年区本级共安排</w:t>
      </w:r>
      <w:bookmarkStart w:id="2" w:name="_Hlk81321358"/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“三公”</w:t>
      </w:r>
      <w:bookmarkEnd w:id="2"/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经费支出预算数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225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万元，决算数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224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万元，占预算的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99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%。其中：公车购置和运行维护费预算数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212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万元，决算数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212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万元，占预算的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100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%；</w:t>
      </w:r>
    </w:p>
    <w:p w14:paraId="0611C0D4"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textAlignment w:val="bottom"/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公务接待费预算数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万元，决算数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万元，占预算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  <w:t>的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92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%；202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年度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未发生因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公务出国（境）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费用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  <w:t>。</w:t>
      </w:r>
    </w:p>
    <w:p w14:paraId="7AAE1027">
      <w:pPr>
        <w:rPr>
          <w:rFonts w:ascii="Calibri" w:hAnsi="Calibri"/>
          <w:szCs w:val="22"/>
        </w:rPr>
      </w:pPr>
    </w:p>
    <w:p w14:paraId="414E7AB9">
      <w:pPr>
        <w:ind w:firstLine="803" w:firstLineChars="25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七、政府性债务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管理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情况。</w:t>
      </w:r>
    </w:p>
    <w:p w14:paraId="55C57E3A">
      <w:pPr>
        <w:ind w:firstLine="803" w:firstLineChars="250"/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（一）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202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年度地方政府债务限额及余额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en-US" w:eastAsia="zh-CN"/>
        </w:rPr>
        <w:t>情况</w:t>
      </w:r>
    </w:p>
    <w:p w14:paraId="076D4B2F">
      <w:pPr>
        <w:ind w:firstLine="800" w:firstLineChars="250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2024年潘集区地方政府债务限额279146万元，其中：一般债务限额55231万元，专项债务限额223821万元</w:t>
      </w:r>
      <w:r>
        <w:rPr>
          <w:rFonts w:hint="eastAsia" w:cs="仿宋_GB2312" w:asciiTheme="majorEastAsia" w:hAnsiTheme="majorEastAsia" w:eastAsiaTheme="majorEastAsia"/>
          <w:sz w:val="32"/>
          <w:szCs w:val="32"/>
        </w:rPr>
        <w:t>。</w:t>
      </w:r>
    </w:p>
    <w:p w14:paraId="43AEEE6F">
      <w:pPr>
        <w:ind w:firstLine="800" w:firstLineChars="250"/>
        <w:rPr>
          <w:rFonts w:hint="eastAsia"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202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sz w:val="32"/>
          <w:szCs w:val="32"/>
        </w:rPr>
        <w:t>年底，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全区政府性债务余额274043万元，其中一般债券54545万元，专项债券219498万元，均在债务限额之内</w:t>
      </w:r>
      <w:r>
        <w:rPr>
          <w:rFonts w:hint="eastAsia" w:cs="仿宋_GB2312" w:asciiTheme="majorEastAsia" w:hAnsiTheme="majorEastAsia" w:eastAsiaTheme="majorEastAsia"/>
          <w:sz w:val="32"/>
          <w:szCs w:val="32"/>
        </w:rPr>
        <w:t>。</w:t>
      </w:r>
    </w:p>
    <w:p w14:paraId="5085B5BE">
      <w:pPr>
        <w:ind w:firstLine="803" w:firstLineChars="250"/>
        <w:rPr>
          <w:rFonts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（二）债券发行情况：</w:t>
      </w:r>
    </w:p>
    <w:p w14:paraId="04E8EAAB">
      <w:pPr>
        <w:ind w:firstLine="800" w:firstLineChars="250"/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1、2024年一般债券额度3091万元，</w:t>
      </w:r>
      <w:bookmarkStart w:id="3" w:name="_Hlk207789876"/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已发行完毕，</w:t>
      </w:r>
      <w:bookmarkEnd w:id="3"/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其中：支持巩固拓展脱贫攻坚成果衔接资金519万元，用于和美乡村精品示范村2000万元，置换一般债券572万元，（用于城镇化一号基金）。</w:t>
      </w:r>
    </w:p>
    <w:p w14:paraId="3619237E">
      <w:pPr>
        <w:ind w:firstLine="800" w:firstLineChars="250"/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2、2024年专项债券额度25521万元，已发行完毕，其中：潘集区综合交通换乘中心项目8000万元；淮南市潘集区物流基础设施提升改造项目2100万元；用于潘集区乡村振兴非标专项债项目2200万元；</w:t>
      </w:r>
      <w:bookmarkStart w:id="4" w:name="OLE_LINK1"/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置换专项债券</w:t>
      </w:r>
      <w:bookmarkEnd w:id="4"/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4400万元，（用于：1、建发集团转贷财政局1000万元，对应项目是潘集区长江路（污水厂-白云小区）污水管网项目。2、建发集团转贷区建投公司1000万元，对应项目是淮南市潘集区中心城区配水管网。3、建发集团转贷区住建局2400万元，对应项目是杨圩社区棚户区改造（元庄共和城）项目）；置换专项债券8821万元。（用于城镇化一号基金）。</w:t>
      </w:r>
    </w:p>
    <w:p w14:paraId="285CED5F">
      <w:pPr>
        <w:ind w:firstLine="803" w:firstLineChars="25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（</w:t>
      </w:r>
      <w:r>
        <w:rPr>
          <w:rFonts w:hint="eastAsia" w:cs="仿宋_GB2312" w:asciiTheme="majorEastAsia" w:hAnsiTheme="majorEastAsia" w:eastAsiaTheme="majorEastAsia"/>
          <w:b/>
          <w:sz w:val="32"/>
          <w:szCs w:val="32"/>
          <w:lang w:val="en-US" w:eastAsia="zh-CN"/>
        </w:rPr>
        <w:t>三</w:t>
      </w: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）债券还本付息情况：</w:t>
      </w:r>
    </w:p>
    <w:p w14:paraId="18D8B11E">
      <w:pPr>
        <w:ind w:firstLine="800" w:firstLineChars="25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2024年政府债务还本为54443万元，</w:t>
      </w:r>
      <w:bookmarkStart w:id="5" w:name="OLE_LINK2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其中：</w:t>
      </w:r>
      <w:bookmarkEnd w:id="5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一般债券还本2396万元（其中再融资债券</w:t>
      </w:r>
      <w:bookmarkStart w:id="6" w:name="_Hlk207803929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偿还</w:t>
      </w:r>
      <w:bookmarkEnd w:id="6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1641万元、</w:t>
      </w:r>
      <w:bookmarkStart w:id="7" w:name="OLE_LINK3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本级财力偿还</w:t>
      </w:r>
      <w:bookmarkEnd w:id="7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183万元、</w:t>
      </w:r>
      <w:bookmarkStart w:id="8" w:name="_Hlk207804373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置</w:t>
      </w:r>
      <w:bookmarkEnd w:id="8"/>
      <w:bookmarkStart w:id="9" w:name="_Hlk207804321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换债券偿还572万元</w:t>
      </w:r>
      <w:bookmarkEnd w:id="9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）；专项债券还本52047万元（其中再融资金债券偿还38903万元、本级财力偿还4323万元、置换债券偿还8821万元）,已经全部偿还。</w:t>
      </w:r>
    </w:p>
    <w:p w14:paraId="48653D28">
      <w:pPr>
        <w:ind w:firstLine="800" w:firstLineChars="25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2024年政府债券利息8638万元，其中一般债券付息1708万元，专项债券付息6930万元；发行费用57万元；其中一般债券3万元，专项债券54万元。（年终市区结算代扣）。</w:t>
      </w:r>
    </w:p>
    <w:p w14:paraId="1BD273E7">
      <w:pPr>
        <w:ind w:firstLine="803" w:firstLineChars="250"/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八、预算绩效管理情况</w:t>
      </w:r>
    </w:p>
    <w:p w14:paraId="5BE24E92">
      <w:pPr>
        <w:spacing w:line="600" w:lineRule="exact"/>
        <w:ind w:firstLine="640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2024年，区财政局组织全区11个乡镇（街道）、 48个预算部门开展财政资金绩效自评工作，实现了财政支出绩效评价全覆盖，绩效评价报告通过政府网站向社会公开。为进一步加强重点项目绩效管理，选出民生关注度高、社会影响大的6个重点项目，引入第三方机构开展绩效评价，涉及项目资金4861万元，有效提升绩效评价效果。</w:t>
      </w:r>
    </w:p>
    <w:p w14:paraId="1EACCDDC">
      <w:pPr>
        <w:spacing w:line="600" w:lineRule="exact"/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九、政府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财政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决算报告批复情况</w:t>
      </w:r>
    </w:p>
    <w:p w14:paraId="76A899D0">
      <w:pPr>
        <w:spacing w:line="68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潘集区财政局《关于20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年财政决算（草案）和202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2"/>
          <w:szCs w:val="32"/>
        </w:rPr>
        <w:t>年上半年财政预算执行情况的报告》是于202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28</w:t>
      </w:r>
      <w:r>
        <w:rPr>
          <w:rFonts w:hint="eastAsia" w:asciiTheme="majorEastAsia" w:hAnsiTheme="majorEastAsia" w:eastAsiaTheme="majorEastAsia"/>
          <w:sz w:val="32"/>
          <w:szCs w:val="32"/>
        </w:rPr>
        <w:t>日在区十一届人大常委会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第三十</w:t>
      </w:r>
      <w:r>
        <w:rPr>
          <w:rFonts w:hint="eastAsia" w:asciiTheme="majorEastAsia" w:hAnsiTheme="majorEastAsia" w:eastAsiaTheme="majorEastAsia"/>
          <w:sz w:val="32"/>
          <w:szCs w:val="32"/>
        </w:rPr>
        <w:t>次会议上通过，并于202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28</w:t>
      </w:r>
      <w:r>
        <w:rPr>
          <w:rFonts w:hint="eastAsia" w:asciiTheme="majorEastAsia" w:hAnsiTheme="majorEastAsia" w:eastAsiaTheme="majorEastAsia"/>
          <w:sz w:val="32"/>
          <w:szCs w:val="32"/>
        </w:rPr>
        <w:t>日经区人大常委会批复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（潘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人常[2025]21号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/>
          <w:sz w:val="32"/>
          <w:szCs w:val="32"/>
        </w:rPr>
        <w:t>。</w:t>
      </w:r>
    </w:p>
    <w:p w14:paraId="09106724">
      <w:pPr>
        <w:numPr>
          <w:ilvl w:val="0"/>
          <w:numId w:val="1"/>
        </w:numPr>
        <w:spacing w:line="680" w:lineRule="exact"/>
        <w:ind w:firstLine="643" w:firstLineChars="2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预算执行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情况说明</w:t>
      </w:r>
    </w:p>
    <w:p w14:paraId="7B3B5E5C">
      <w:pPr>
        <w:numPr>
          <w:ilvl w:val="0"/>
          <w:numId w:val="0"/>
        </w:numPr>
        <w:spacing w:line="680" w:lineRule="exact"/>
        <w:ind w:firstLine="643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（一）上级财政补助情况。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2024年，一般公共预算上级转移支付补助资金107080万元，其中：财力性补助35570</w:t>
      </w:r>
      <w:bookmarkStart w:id="10" w:name="_GoBack"/>
      <w:bookmarkEnd w:id="10"/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万元；共同事权补助44151万元；专项转移支付补助27359万元。政府性基金上级转移支付补助资金10689万元。</w:t>
      </w:r>
    </w:p>
    <w:p w14:paraId="13341418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“三保”支出执行情况。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今年以来，我区始终将“保基本民生、保工资、保运转”作为财政支出的首要任务和刚性支出责任。2024年“三保”安排支出94496万元。其中，保基本民生支出43091万元，保工资支出47279万元，保运转支出4126万元。</w:t>
      </w:r>
    </w:p>
    <w:p w14:paraId="0D3749B8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（三）压减“三公”经费情况。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进一步树立过“紧日子”思想，大力压缩一般性支出，从严管控“三公”经费等一般性支出。2024年“三公”经费支出224万元，比上年减少2万元，同比下降1%。其中：公务接待费12万元，同比下降8%；公务用车运行维护费152万元，同比下降1%。公务用车购置费60万元，与上年持平。</w:t>
      </w:r>
    </w:p>
    <w:p w14:paraId="5B8CB66D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</w:rPr>
        <w:t>（四）</w:t>
      </w: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预算绩效管理情况。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2024年，区财政局组织全区11个乡镇（街道）、 48个预算部门开展财政资金绩效自评工作，实现了财政支出绩效评价全覆盖，绩效评价报告通过政府网站向社会公开。为进一步加强重点项目绩效管理，选出民生关注度高、社会影响大的6个重点项目，引入第三方机构开展绩效评价，涉及项目资金4861万元，有效提升绩效评价效果。</w:t>
      </w:r>
    </w:p>
    <w:p w14:paraId="3C5460C3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（五）政府性债务情况。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2024年底，全区地方政府债务余额为27.4 亿元，其中:一般债务余额5.45亿元，专项债务余额 21.95亿元。2024年我区全口径债务率123%，债务风险等级为绿色，较2023年下降8个百分点，风险可控。</w:t>
      </w:r>
    </w:p>
    <w:p w14:paraId="3AF6FF29">
      <w:pPr>
        <w:spacing w:line="680" w:lineRule="exact"/>
        <w:ind w:firstLine="643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2"/>
          <w:szCs w:val="32"/>
          <w:lang w:val="en-US" w:eastAsia="zh-CN"/>
        </w:rPr>
        <w:t>（六）其他重要事项。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2024年初预算安排预备费1608万元，当年未发生支出。2024年一般公共预算收入实现超收2258万元，根据预算法规定，补充安排预算稳定调节基金2258万元。</w:t>
      </w:r>
    </w:p>
    <w:p w14:paraId="2CF82A27">
      <w:pPr>
        <w:spacing w:line="680" w:lineRule="exact"/>
        <w:ind w:firstLine="640" w:firstLineChars="200"/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</w:p>
    <w:p w14:paraId="2F64EB10">
      <w:pPr>
        <w:spacing w:line="680" w:lineRule="exact"/>
        <w:ind w:firstLine="640" w:firstLineChars="200"/>
        <w:rPr>
          <w:rFonts w:asciiTheme="majorEastAsia" w:hAnsiTheme="majorEastAsia" w:eastAsiaTheme="majorEastAsia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1FEB8"/>
    <w:multiLevelType w:val="singleLevel"/>
    <w:tmpl w:val="8811FEB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2IyYWVmN2QwOWU1YTk1OWYxZjVkMGIxYjAyNDMxMWUifQ=="/>
  </w:docVars>
  <w:rsids>
    <w:rsidRoot w:val="007E4E3B"/>
    <w:rsid w:val="000116D1"/>
    <w:rsid w:val="00034CDC"/>
    <w:rsid w:val="00054C65"/>
    <w:rsid w:val="00104F4A"/>
    <w:rsid w:val="00121ECB"/>
    <w:rsid w:val="001242CC"/>
    <w:rsid w:val="0015396D"/>
    <w:rsid w:val="00154887"/>
    <w:rsid w:val="00185A7F"/>
    <w:rsid w:val="00190760"/>
    <w:rsid w:val="001A03F4"/>
    <w:rsid w:val="001A5E51"/>
    <w:rsid w:val="001D0680"/>
    <w:rsid w:val="0022313A"/>
    <w:rsid w:val="002240E7"/>
    <w:rsid w:val="0024661E"/>
    <w:rsid w:val="00262F4E"/>
    <w:rsid w:val="00274C25"/>
    <w:rsid w:val="00293710"/>
    <w:rsid w:val="002B4AE7"/>
    <w:rsid w:val="002D64A1"/>
    <w:rsid w:val="003066E1"/>
    <w:rsid w:val="00334086"/>
    <w:rsid w:val="00341286"/>
    <w:rsid w:val="00345F93"/>
    <w:rsid w:val="0037063E"/>
    <w:rsid w:val="003D3FBA"/>
    <w:rsid w:val="003F248F"/>
    <w:rsid w:val="004101D0"/>
    <w:rsid w:val="00437A75"/>
    <w:rsid w:val="00443056"/>
    <w:rsid w:val="00445029"/>
    <w:rsid w:val="004453F4"/>
    <w:rsid w:val="00454DB2"/>
    <w:rsid w:val="004B28A9"/>
    <w:rsid w:val="004E75A9"/>
    <w:rsid w:val="00554EE0"/>
    <w:rsid w:val="005B6B02"/>
    <w:rsid w:val="005C664A"/>
    <w:rsid w:val="00614D42"/>
    <w:rsid w:val="00616C6B"/>
    <w:rsid w:val="00636932"/>
    <w:rsid w:val="00640A89"/>
    <w:rsid w:val="00644DD5"/>
    <w:rsid w:val="00655CA2"/>
    <w:rsid w:val="006819C3"/>
    <w:rsid w:val="00683E14"/>
    <w:rsid w:val="006B5927"/>
    <w:rsid w:val="006E3C90"/>
    <w:rsid w:val="00712C47"/>
    <w:rsid w:val="007526FB"/>
    <w:rsid w:val="00765C50"/>
    <w:rsid w:val="007E3B1A"/>
    <w:rsid w:val="007E4E3B"/>
    <w:rsid w:val="007F0E84"/>
    <w:rsid w:val="00812264"/>
    <w:rsid w:val="0083782E"/>
    <w:rsid w:val="008733DF"/>
    <w:rsid w:val="0089080A"/>
    <w:rsid w:val="008B4564"/>
    <w:rsid w:val="008C6C23"/>
    <w:rsid w:val="008D2059"/>
    <w:rsid w:val="008E53AA"/>
    <w:rsid w:val="00921F88"/>
    <w:rsid w:val="00926B9C"/>
    <w:rsid w:val="009275F8"/>
    <w:rsid w:val="009C089E"/>
    <w:rsid w:val="009C1FAD"/>
    <w:rsid w:val="009D05AD"/>
    <w:rsid w:val="009E0E08"/>
    <w:rsid w:val="00A04856"/>
    <w:rsid w:val="00A40328"/>
    <w:rsid w:val="00A53863"/>
    <w:rsid w:val="00A80E13"/>
    <w:rsid w:val="00AA6019"/>
    <w:rsid w:val="00AE5A05"/>
    <w:rsid w:val="00B0773E"/>
    <w:rsid w:val="00B15B3A"/>
    <w:rsid w:val="00B31AA6"/>
    <w:rsid w:val="00B5121D"/>
    <w:rsid w:val="00BA0B6E"/>
    <w:rsid w:val="00BC1AB3"/>
    <w:rsid w:val="00C20C93"/>
    <w:rsid w:val="00C72015"/>
    <w:rsid w:val="00C73B60"/>
    <w:rsid w:val="00C9369A"/>
    <w:rsid w:val="00CF74B3"/>
    <w:rsid w:val="00D067F8"/>
    <w:rsid w:val="00D158C4"/>
    <w:rsid w:val="00D34194"/>
    <w:rsid w:val="00D75C07"/>
    <w:rsid w:val="00DD1AFD"/>
    <w:rsid w:val="00DD215A"/>
    <w:rsid w:val="00E01EE8"/>
    <w:rsid w:val="00E25DE3"/>
    <w:rsid w:val="00E26474"/>
    <w:rsid w:val="00E577BD"/>
    <w:rsid w:val="00E64EE0"/>
    <w:rsid w:val="00E65C27"/>
    <w:rsid w:val="00E818D0"/>
    <w:rsid w:val="00EB2A9D"/>
    <w:rsid w:val="00EF0FB4"/>
    <w:rsid w:val="00F00BDA"/>
    <w:rsid w:val="00F434CF"/>
    <w:rsid w:val="00F50D5C"/>
    <w:rsid w:val="00F6145E"/>
    <w:rsid w:val="00F81203"/>
    <w:rsid w:val="00F96128"/>
    <w:rsid w:val="00FB1D2F"/>
    <w:rsid w:val="00FE2A32"/>
    <w:rsid w:val="039B6B95"/>
    <w:rsid w:val="095114C0"/>
    <w:rsid w:val="09847D1C"/>
    <w:rsid w:val="09AA1B8C"/>
    <w:rsid w:val="0A055CF6"/>
    <w:rsid w:val="0C06225E"/>
    <w:rsid w:val="13F968AE"/>
    <w:rsid w:val="18D730C4"/>
    <w:rsid w:val="195B781C"/>
    <w:rsid w:val="1AD20F65"/>
    <w:rsid w:val="1C582730"/>
    <w:rsid w:val="1C9F7B1F"/>
    <w:rsid w:val="2A5F7EBA"/>
    <w:rsid w:val="31693288"/>
    <w:rsid w:val="32290DE5"/>
    <w:rsid w:val="3BCB44F6"/>
    <w:rsid w:val="3FF35B8C"/>
    <w:rsid w:val="3FF56C88"/>
    <w:rsid w:val="42ED123B"/>
    <w:rsid w:val="43F459E4"/>
    <w:rsid w:val="444A742D"/>
    <w:rsid w:val="476169DB"/>
    <w:rsid w:val="47FA1822"/>
    <w:rsid w:val="49CA5E32"/>
    <w:rsid w:val="51EE7A48"/>
    <w:rsid w:val="577E64AD"/>
    <w:rsid w:val="597F7432"/>
    <w:rsid w:val="5A510D50"/>
    <w:rsid w:val="5DBC0C51"/>
    <w:rsid w:val="5DD64ABE"/>
    <w:rsid w:val="611C11AF"/>
    <w:rsid w:val="629B183E"/>
    <w:rsid w:val="68DB687C"/>
    <w:rsid w:val="6AF456EB"/>
    <w:rsid w:val="6E07665B"/>
    <w:rsid w:val="77056897"/>
    <w:rsid w:val="78254990"/>
    <w:rsid w:val="784C17F9"/>
    <w:rsid w:val="79E75CDF"/>
    <w:rsid w:val="7FB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 w:afterLines="0" w:afterAutospacing="0"/>
    </w:p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  <w:rPr>
      <w:kern w:val="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8">
    <w:name w:val="Body Text First Indent 2"/>
    <w:basedOn w:val="4"/>
    <w:qFormat/>
    <w:uiPriority w:val="0"/>
    <w:pPr>
      <w:spacing w:after="0"/>
      <w:ind w:left="562" w:leftChars="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7">
    <w:name w:val="正文文本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正文文本首行缩进 2 字符"/>
    <w:basedOn w:val="19"/>
    <w:qFormat/>
    <w:uiPriority w:val="0"/>
    <w:rPr>
      <w:kern w:val="2"/>
      <w:sz w:val="21"/>
      <w:szCs w:val="22"/>
    </w:rPr>
  </w:style>
  <w:style w:type="character" w:customStyle="1" w:styleId="19">
    <w:name w:val="正文文本缩进 字符"/>
    <w:basedOn w:val="11"/>
    <w:link w:val="4"/>
    <w:qFormat/>
    <w:uiPriority w:val="0"/>
    <w:rPr>
      <w:kern w:val="2"/>
      <w:sz w:val="21"/>
      <w:szCs w:val="22"/>
    </w:rPr>
  </w:style>
  <w:style w:type="character" w:customStyle="1" w:styleId="20">
    <w:name w:val="标题 4 字符"/>
    <w:basedOn w:val="11"/>
    <w:link w:val="2"/>
    <w:uiPriority w:val="0"/>
    <w:rPr>
      <w:rFonts w:ascii="等线" w:hAnsi="等线" w:eastAsia="等线" w:cs="Times New Roman"/>
      <w:color w:val="2F5496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4881</Words>
  <Characters>5690</Characters>
  <Lines>36</Lines>
  <Paragraphs>10</Paragraphs>
  <TotalTime>13</TotalTime>
  <ScaleCrop>false</ScaleCrop>
  <LinksUpToDate>false</LinksUpToDate>
  <CharactersWithSpaces>5710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2020-09-04T02:58:00Z</dcterms:created>
  <dc:creator>User</dc:creator>
  <cp:lastModifiedBy>1</cp:lastModifiedBy>
  <dcterms:modified xsi:type="dcterms:W3CDTF">2025-09-04T09:31:50Z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B813A0C7ABCA4FBD9C7712936D1D4C3E_12</vt:lpwstr>
  </property>
  <property fmtid="{D5CDD505-2E9C-101B-9397-08002B2CF9AE}" pid="4" name="KSOTemplateDocerSaveRecord">
    <vt:lpwstr>eyJoZGlkIjoiM2IyYWVmN2QwOWU1YTk1OWYxZjVkMGIxYjAyNDMxMWUifQ==</vt:lpwstr>
  </property>
</Properties>
</file>