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A87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潘集区2024年绩效管理工作情况</w:t>
      </w:r>
    </w:p>
    <w:p w14:paraId="29432F17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12964F9C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2024年坚持“花钱必问效，无效必问责”的理念，进一步加快建成“全方位、全过程、全覆盖”的预算绩效管理体系。一是事前绩效评估把关更严，对新出台重大政策、新增重大项目（500万元以上）全面实施事前绩效评估，评估结果作为项目入库和预算安排前置条件；二是绩效目标与部门预算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同步编制、同步申报、同步审核，提高目标编制的规范性、完整性；三是绩效监控提质扩面，对预算部门的项目支出和部门整体支出实施绩效监控，重点监控执行进度和绩效目标实现程度并及时纠偏整改；四是部门绩效自评全覆盖，对区直所有部门的项目支出和部门整体支出开展绩效自评，并按要求向社会公开。</w:t>
      </w:r>
    </w:p>
    <w:p w14:paraId="18C6E59D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2024年，区财政局组织全区11个乡镇（街道）、 48个预算部门开展财政资金绩效自评工作，实现了财政支出绩效评价全覆盖，绩效评价报告通过政府网站向社会公开。为进一步加强重点项目绩效管理，选出民生关注度高、社会影响大的6个重点项目，引入第三方机构开展绩效评价，涉及项目资金4861万元，有效提升绩效评价效果。</w:t>
      </w:r>
    </w:p>
    <w:p w14:paraId="42F3A58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92404"/>
    <w:rsid w:val="256C09BE"/>
    <w:rsid w:val="3BD92404"/>
    <w:rsid w:val="430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284</Characters>
  <Lines>0</Lines>
  <Paragraphs>0</Paragraphs>
  <TotalTime>2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2025-06-05T08:54:00Z</dcterms:created>
  <dc:creator>╰⊱⋛⋋ ⋌⋚⊰╯</dc:creator>
  <cp:lastModifiedBy>1</cp:lastModifiedBy>
  <dcterms:modified xsi:type="dcterms:W3CDTF">2025-09-04T08:33:54Z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FEA6920176CC493FB6F3E27D8539A588_11</vt:lpwstr>
  </property>
  <property fmtid="{D5CDD505-2E9C-101B-9397-08002B2CF9AE}" pid="4" name="KSOTemplateDocerSaveRecord">
    <vt:lpwstr>eyJoZGlkIjoiM2IyYWVmN2QwOWU1YTk1OWYxZjVkMGIxYjAyNDMxMWUifQ==</vt:lpwstr>
  </property>
</Properties>
</file>