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ED" w:rsidRDefault="0038097E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b/>
          <w:bCs/>
          <w:color w:val="000000"/>
          <w:sz w:val="44"/>
          <w:szCs w:val="44"/>
          <w:shd w:val="clear" w:color="auto" w:fill="FFFFFF"/>
        </w:rPr>
        <w:t>潘集区</w:t>
      </w:r>
      <w:r>
        <w:rPr>
          <w:rFonts w:ascii="黑体" w:eastAsia="黑体" w:hAnsi="宋体" w:cs="黑体"/>
          <w:b/>
          <w:bCs/>
          <w:color w:val="000000"/>
          <w:sz w:val="44"/>
          <w:szCs w:val="44"/>
          <w:shd w:val="clear" w:color="auto" w:fill="FFFFFF"/>
        </w:rPr>
        <w:t>抽查结果公示（</w:t>
      </w:r>
      <w:r w:rsidR="00AD4F66">
        <w:rPr>
          <w:rFonts w:ascii="黑体" w:eastAsia="黑体" w:hAnsi="宋体" w:cs="黑体" w:hint="eastAsia"/>
          <w:b/>
          <w:bCs/>
          <w:color w:val="000000"/>
          <w:sz w:val="44"/>
          <w:szCs w:val="44"/>
          <w:shd w:val="clear" w:color="auto" w:fill="FFFFFF"/>
        </w:rPr>
        <w:t>幼儿园、拖育机构</w:t>
      </w:r>
      <w:r>
        <w:rPr>
          <w:rFonts w:ascii="黑体" w:eastAsia="黑体" w:hAnsi="宋体" w:cs="黑体"/>
          <w:b/>
          <w:bCs/>
          <w:color w:val="000000"/>
          <w:sz w:val="44"/>
          <w:szCs w:val="44"/>
          <w:shd w:val="clear" w:color="auto" w:fill="FFFFFF"/>
        </w:rPr>
        <w:t>）</w:t>
      </w:r>
    </w:p>
    <w:p w:rsidR="00B432ED" w:rsidRDefault="0038097E">
      <w:pPr>
        <w:pStyle w:val="a5"/>
        <w:widowControl/>
        <w:shd w:val="clear" w:color="auto" w:fill="FFFFFF"/>
        <w:spacing w:beforeAutospacing="0" w:afterAutospacing="0" w:line="280" w:lineRule="atLeast"/>
        <w:jc w:val="both"/>
        <w:rPr>
          <w:rFonts w:ascii="Calibri" w:eastAsia="宋体" w:hAnsi="Calibri" w:cs="Calibri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监督专业：</w:t>
      </w:r>
      <w:r w:rsidR="00AD4F66"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幼儿园、拖育机构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   </w:t>
      </w:r>
      <w:r w:rsidR="00AD4F66"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随机抽查事项名称：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中、小学校卫生监督检查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公示日期：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202</w:t>
      </w:r>
      <w:r w:rsidR="00AD4F66"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年</w:t>
      </w:r>
      <w:r w:rsidR="00AD4F66"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月</w:t>
      </w:r>
      <w:r w:rsidR="00AD4F66"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14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日</w:t>
      </w:r>
    </w:p>
    <w:p w:rsidR="00B432ED" w:rsidRDefault="0038097E">
      <w:pPr>
        <w:pStyle w:val="a5"/>
        <w:widowControl/>
        <w:shd w:val="clear" w:color="auto" w:fill="FFFFFF"/>
        <w:spacing w:beforeAutospacing="0" w:afterAutospacing="0" w:line="280" w:lineRule="atLeast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抽查对象：</w:t>
      </w:r>
      <w:r w:rsidR="00AD4F66"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幼儿园、拖育机构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 xml:space="preserve">      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抽查执行单位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: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潘集区卫生健康委员会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       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抽样方式：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随机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抽检</w:t>
      </w:r>
    </w:p>
    <w:p w:rsidR="00B432ED" w:rsidRDefault="0038097E">
      <w:pPr>
        <w:pStyle w:val="a5"/>
        <w:widowControl/>
        <w:shd w:val="clear" w:color="auto" w:fill="FFFFFF"/>
        <w:spacing w:before="100" w:after="100" w:line="280" w:lineRule="exact"/>
        <w:rPr>
          <w:rFonts w:ascii="宋体" w:eastAsia="宋体" w:hAnsi="宋体" w:cs="宋体"/>
          <w:color w:val="666666"/>
          <w:sz w:val="15"/>
          <w:szCs w:val="15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666666"/>
          <w:shd w:val="clear" w:color="auto" w:fill="FFFFFF"/>
        </w:rPr>
        <w:t>抽查内容：</w:t>
      </w:r>
      <w:r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1.</w:t>
      </w:r>
      <w:r w:rsidR="00AD4F66"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幼儿园、拖育机构</w:t>
      </w:r>
      <w:r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落实教学和生活环境卫生要求情况，包括教</w:t>
      </w:r>
      <w:r w:rsidR="00AD4F66"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室课桌椅配备、教室采光和照明、教室人均面积、教室和宿舍通风设施</w:t>
      </w:r>
      <w:r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落实传染病和常见病防控要求情况，包括专人负责疫情报告、传染病防控“一案八制”、晨检记录和因病缺勤病因追查与登记记录、复课证明查验、新生入学接种证查验登记、每年按规定实施学生健康体检等情况。学校新冠疫情常态化防控措施落实情况。</w:t>
      </w:r>
      <w:r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落实饮用水卫生要求情况，包括使用自建设施集中式供水的学校落实水源卫生防护、配备使用水质消毒设施设备情况和使用二次供水的学校防止蓄水</w:t>
      </w:r>
      <w:r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池周围污染和按规定开展蓄水池清洗消毒情况。</w:t>
      </w:r>
      <w:r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4.</w:t>
      </w:r>
      <w:r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纳入卫生监督协管服务情况。</w:t>
      </w:r>
      <w:r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教室采光、照明及教室人均面积。</w:t>
      </w:r>
      <w:r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学校自建设施集中式供水和二次供水水质色度、浑浊度、臭和味、肉眼可见物、</w:t>
      </w:r>
      <w:r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pH</w:t>
      </w:r>
      <w:r>
        <w:rPr>
          <w:rFonts w:ascii="宋体" w:eastAsia="宋体" w:hAnsi="宋体" w:cs="宋体" w:hint="eastAsia"/>
          <w:color w:val="666666"/>
          <w:sz w:val="15"/>
          <w:szCs w:val="15"/>
          <w:shd w:val="clear" w:color="auto" w:fill="FFFFFF"/>
        </w:rPr>
        <w:t>和消毒剂余量。</w:t>
      </w:r>
    </w:p>
    <w:tbl>
      <w:tblPr>
        <w:tblpPr w:leftFromText="180" w:rightFromText="180" w:vertAnchor="text" w:horzAnchor="page" w:tblpX="1853" w:tblpY="279"/>
        <w:tblOverlap w:val="never"/>
        <w:tblW w:w="1319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892"/>
        <w:gridCol w:w="2544"/>
        <w:gridCol w:w="3492"/>
        <w:gridCol w:w="1536"/>
        <w:gridCol w:w="1536"/>
        <w:gridCol w:w="2640"/>
      </w:tblGrid>
      <w:tr w:rsidR="00B432ED">
        <w:tc>
          <w:tcPr>
            <w:tcW w:w="55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38097E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892" w:type="dxa"/>
            <w:tcBorders>
              <w:top w:val="inset" w:sz="8" w:space="0" w:color="000000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38097E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辖区</w:t>
            </w:r>
          </w:p>
        </w:tc>
        <w:tc>
          <w:tcPr>
            <w:tcW w:w="2544" w:type="dxa"/>
            <w:tcBorders>
              <w:top w:val="inset" w:sz="8" w:space="0" w:color="000000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38097E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抽查单位名称</w:t>
            </w:r>
          </w:p>
        </w:tc>
        <w:tc>
          <w:tcPr>
            <w:tcW w:w="3492" w:type="dxa"/>
            <w:tcBorders>
              <w:top w:val="inset" w:sz="8" w:space="0" w:color="000000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38097E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抽查单位地址</w:t>
            </w:r>
          </w:p>
        </w:tc>
        <w:tc>
          <w:tcPr>
            <w:tcW w:w="1536" w:type="dxa"/>
            <w:tcBorders>
              <w:top w:val="inset" w:sz="8" w:space="0" w:color="000000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38097E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监督员</w:t>
            </w:r>
          </w:p>
        </w:tc>
        <w:tc>
          <w:tcPr>
            <w:tcW w:w="1536" w:type="dxa"/>
            <w:tcBorders>
              <w:top w:val="inset" w:sz="8" w:space="0" w:color="000000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38097E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监督检查结果</w:t>
            </w:r>
          </w:p>
        </w:tc>
        <w:tc>
          <w:tcPr>
            <w:tcW w:w="2640" w:type="dxa"/>
            <w:tcBorders>
              <w:top w:val="inset" w:sz="8" w:space="0" w:color="000000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38097E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备注</w:t>
            </w:r>
          </w:p>
        </w:tc>
      </w:tr>
      <w:tr w:rsidR="00B432ED">
        <w:trPr>
          <w:trHeight w:val="193"/>
        </w:trPr>
        <w:tc>
          <w:tcPr>
            <w:tcW w:w="551" w:type="dxa"/>
            <w:tcBorders>
              <w:top w:val="nil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38097E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38097E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潘集区</w:t>
            </w:r>
          </w:p>
        </w:tc>
        <w:tc>
          <w:tcPr>
            <w:tcW w:w="2544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38097E" w:rsidP="00AD4F66">
            <w:pPr>
              <w:widowControl/>
              <w:jc w:val="left"/>
              <w:textAlignment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淮南市潘集区</w:t>
            </w:r>
            <w:r w:rsidR="00AD4F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泥河</w:t>
            </w:r>
            <w:r w:rsidR="00B41A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晓春拖育幼儿园</w:t>
            </w:r>
          </w:p>
        </w:tc>
        <w:tc>
          <w:tcPr>
            <w:tcW w:w="3492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38097E" w:rsidP="00B41AC1">
            <w:pPr>
              <w:widowControl/>
              <w:jc w:val="left"/>
              <w:textAlignment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安徽省淮南市潘集区</w:t>
            </w:r>
            <w:r w:rsidR="00B41A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泥河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镇顺河</w:t>
            </w:r>
          </w:p>
        </w:tc>
        <w:tc>
          <w:tcPr>
            <w:tcW w:w="1536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B41AC1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岳嵚    许璐璐</w:t>
            </w:r>
          </w:p>
        </w:tc>
        <w:tc>
          <w:tcPr>
            <w:tcW w:w="1536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B41AC1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未发现问题</w:t>
            </w:r>
          </w:p>
        </w:tc>
        <w:tc>
          <w:tcPr>
            <w:tcW w:w="2640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B432ED">
            <w:pPr>
              <w:pStyle w:val="a5"/>
              <w:widowControl/>
              <w:spacing w:beforeAutospacing="0" w:afterAutospacing="0"/>
              <w:rPr>
                <w:rFonts w:ascii="Calibri" w:eastAsia="宋体" w:hAnsi="Calibri" w:cs="Calibri"/>
                <w:sz w:val="21"/>
                <w:szCs w:val="21"/>
              </w:rPr>
            </w:pPr>
          </w:p>
        </w:tc>
      </w:tr>
      <w:tr w:rsidR="00B432ED">
        <w:trPr>
          <w:trHeight w:val="193"/>
        </w:trPr>
        <w:tc>
          <w:tcPr>
            <w:tcW w:w="551" w:type="dxa"/>
            <w:tcBorders>
              <w:top w:val="nil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38097E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38097E">
            <w:pPr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潘集区</w:t>
            </w:r>
          </w:p>
        </w:tc>
        <w:tc>
          <w:tcPr>
            <w:tcW w:w="2544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38097E">
            <w:pPr>
              <w:widowControl/>
              <w:jc w:val="left"/>
              <w:textAlignment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淮南市</w:t>
            </w:r>
            <w:r w:rsidR="00B41A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燊燊幼儿园照护服务有限公司</w:t>
            </w:r>
          </w:p>
        </w:tc>
        <w:tc>
          <w:tcPr>
            <w:tcW w:w="3492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38097E" w:rsidP="00B41AC1">
            <w:pPr>
              <w:widowControl/>
              <w:jc w:val="left"/>
              <w:textAlignment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安徽省淮南市潘集区</w:t>
            </w:r>
            <w:r w:rsidR="00B41A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田集街道</w:t>
            </w:r>
          </w:p>
        </w:tc>
        <w:tc>
          <w:tcPr>
            <w:tcW w:w="1536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38097E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许璐璐</w:t>
            </w:r>
          </w:p>
        </w:tc>
        <w:tc>
          <w:tcPr>
            <w:tcW w:w="1536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B41AC1">
            <w:pPr>
              <w:widowControl/>
              <w:rPr>
                <w:rFonts w:asciiTheme="minorEastAsia" w:hAnsiTheme="minorEastAsia"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未发现问题</w:t>
            </w:r>
          </w:p>
        </w:tc>
        <w:tc>
          <w:tcPr>
            <w:tcW w:w="2640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32ED" w:rsidRDefault="00B432ED">
            <w:pPr>
              <w:widowControl/>
              <w:rPr>
                <w:rFonts w:ascii="Calibri" w:hAnsi="Calibri" w:cs="Calibri"/>
                <w:szCs w:val="21"/>
              </w:rPr>
            </w:pPr>
          </w:p>
        </w:tc>
      </w:tr>
      <w:tr w:rsidR="00B41AC1">
        <w:trPr>
          <w:trHeight w:val="193"/>
        </w:trPr>
        <w:tc>
          <w:tcPr>
            <w:tcW w:w="551" w:type="dxa"/>
            <w:tcBorders>
              <w:top w:val="nil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潘集区</w:t>
            </w:r>
          </w:p>
        </w:tc>
        <w:tc>
          <w:tcPr>
            <w:tcW w:w="2544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jc w:val="left"/>
              <w:textAlignment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潘集区童话拖育中心</w:t>
            </w:r>
          </w:p>
        </w:tc>
        <w:tc>
          <w:tcPr>
            <w:tcW w:w="3492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jc w:val="left"/>
              <w:textAlignment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安徽省淮南市潘集区田集街道</w:t>
            </w:r>
          </w:p>
        </w:tc>
        <w:tc>
          <w:tcPr>
            <w:tcW w:w="1536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岳嵚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  <w:t>岳  頔</w:t>
            </w:r>
          </w:p>
        </w:tc>
        <w:tc>
          <w:tcPr>
            <w:tcW w:w="1536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未发现问题</w:t>
            </w:r>
          </w:p>
        </w:tc>
        <w:tc>
          <w:tcPr>
            <w:tcW w:w="2640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rPr>
                <w:rFonts w:ascii="Calibri" w:hAnsi="Calibri" w:cs="Calibri"/>
                <w:szCs w:val="21"/>
              </w:rPr>
            </w:pPr>
          </w:p>
        </w:tc>
      </w:tr>
      <w:tr w:rsidR="00B41AC1">
        <w:trPr>
          <w:trHeight w:val="193"/>
        </w:trPr>
        <w:tc>
          <w:tcPr>
            <w:tcW w:w="551" w:type="dxa"/>
            <w:tcBorders>
              <w:top w:val="nil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潘集区</w:t>
            </w:r>
          </w:p>
        </w:tc>
        <w:tc>
          <w:tcPr>
            <w:tcW w:w="2544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jc w:val="left"/>
              <w:textAlignment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淮南市雅学拖育服务有限公司</w:t>
            </w:r>
          </w:p>
        </w:tc>
        <w:tc>
          <w:tcPr>
            <w:tcW w:w="3492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jc w:val="left"/>
              <w:textAlignment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安徽省淮南市潘集区田集街道</w:t>
            </w:r>
          </w:p>
        </w:tc>
        <w:tc>
          <w:tcPr>
            <w:tcW w:w="1536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鲁振刚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  <w:t>岳  頔</w:t>
            </w:r>
          </w:p>
        </w:tc>
        <w:tc>
          <w:tcPr>
            <w:tcW w:w="1536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窗地比不规范</w:t>
            </w:r>
          </w:p>
        </w:tc>
        <w:tc>
          <w:tcPr>
            <w:tcW w:w="2640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rPr>
                <w:rFonts w:ascii="Calibri" w:hAnsi="Calibri" w:cs="Calibri"/>
                <w:szCs w:val="21"/>
              </w:rPr>
            </w:pPr>
          </w:p>
        </w:tc>
      </w:tr>
      <w:tr w:rsidR="00B41AC1">
        <w:trPr>
          <w:trHeight w:val="193"/>
        </w:trPr>
        <w:tc>
          <w:tcPr>
            <w:tcW w:w="551" w:type="dxa"/>
            <w:tcBorders>
              <w:top w:val="nil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pStyle w:val="a5"/>
              <w:widowControl/>
              <w:spacing w:beforeAutospacing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潘集区</w:t>
            </w:r>
          </w:p>
        </w:tc>
        <w:tc>
          <w:tcPr>
            <w:tcW w:w="2544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jc w:val="left"/>
              <w:textAlignment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潘集区潘集童星幼儿园</w:t>
            </w:r>
          </w:p>
        </w:tc>
        <w:tc>
          <w:tcPr>
            <w:tcW w:w="3492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jc w:val="left"/>
              <w:textAlignment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安徽省淮南市潘集区潘集镇</w:t>
            </w:r>
          </w:p>
        </w:tc>
        <w:tc>
          <w:tcPr>
            <w:tcW w:w="1536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岳  頔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  <w:t>李  莉</w:t>
            </w:r>
          </w:p>
        </w:tc>
        <w:tc>
          <w:tcPr>
            <w:tcW w:w="1536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未发现问题</w:t>
            </w:r>
          </w:p>
        </w:tc>
        <w:tc>
          <w:tcPr>
            <w:tcW w:w="2640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rPr>
                <w:rFonts w:ascii="Calibri" w:hAnsi="Calibri" w:cs="Calibri"/>
                <w:szCs w:val="21"/>
              </w:rPr>
            </w:pPr>
          </w:p>
        </w:tc>
      </w:tr>
      <w:tr w:rsidR="00B41AC1">
        <w:trPr>
          <w:trHeight w:val="193"/>
        </w:trPr>
        <w:tc>
          <w:tcPr>
            <w:tcW w:w="551" w:type="dxa"/>
            <w:tcBorders>
              <w:top w:val="nil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潘集区</w:t>
            </w:r>
          </w:p>
        </w:tc>
        <w:tc>
          <w:tcPr>
            <w:tcW w:w="2544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潘集区机关幼儿园</w:t>
            </w:r>
          </w:p>
        </w:tc>
        <w:tc>
          <w:tcPr>
            <w:tcW w:w="3492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安徽省淮南市潘集区田集街道</w:t>
            </w:r>
          </w:p>
        </w:tc>
        <w:tc>
          <w:tcPr>
            <w:tcW w:w="1536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李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18"/>
                <w:szCs w:val="18"/>
              </w:rPr>
              <w:t>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  <w:t>鲁振刚</w:t>
            </w:r>
          </w:p>
        </w:tc>
        <w:tc>
          <w:tcPr>
            <w:tcW w:w="1536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38097E" w:rsidP="00B41AC1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未发现问题</w:t>
            </w:r>
          </w:p>
        </w:tc>
        <w:tc>
          <w:tcPr>
            <w:tcW w:w="2640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B41AC1">
        <w:trPr>
          <w:trHeight w:val="193"/>
        </w:trPr>
        <w:tc>
          <w:tcPr>
            <w:tcW w:w="551" w:type="dxa"/>
            <w:tcBorders>
              <w:top w:val="nil"/>
              <w:left w:val="inset" w:sz="8" w:space="0" w:color="000000"/>
              <w:bottom w:val="single" w:sz="4" w:space="0" w:color="auto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潘集区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潘集区机关幼儿园滨河分园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安徽省淮南市潘集区平圩镇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38097E" w:rsidP="00B41AC1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岳嵚    许璐璐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38097E" w:rsidP="00B41AC1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未发现问题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in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B41AC1">
        <w:trPr>
          <w:trHeight w:val="19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潘集区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38097E" w:rsidP="00B41AC1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潘集区第一幼儿园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安徽省淮南市潘集</w:t>
            </w:r>
            <w:r w:rsidR="0038097E"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区政务新区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38097E" w:rsidP="00B41AC1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岳嵚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  <w:t>岳  頔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38097E" w:rsidP="00B41AC1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窗地比不规范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1AC1" w:rsidRDefault="00B41AC1" w:rsidP="00B41AC1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8097E">
        <w:trPr>
          <w:trHeight w:val="19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潘集区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贺疃红星幼儿园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安徽省淮南市潘集区贺疃镇新街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岳  頔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  <w:t>李  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窗地比不规范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8097E">
        <w:trPr>
          <w:trHeight w:val="19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潘集区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潘集区祁集一幼幼儿园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安徽省淮南市潘集祁集镇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岳嵚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  <w:t>岳  頔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窗地比不规范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8097E">
        <w:trPr>
          <w:trHeight w:val="19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8097E">
        <w:trPr>
          <w:trHeight w:val="19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8097E">
        <w:trPr>
          <w:trHeight w:val="19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097E" w:rsidRDefault="0038097E" w:rsidP="0038097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666666"/>
          <w:shd w:val="clear" w:color="auto" w:fill="FFFFFF"/>
        </w:rPr>
      </w:pPr>
    </w:p>
    <w:p w:rsidR="00B432ED" w:rsidRDefault="00B432ED">
      <w:pPr>
        <w:pStyle w:val="a5"/>
        <w:widowControl/>
        <w:shd w:val="clear" w:color="auto" w:fill="FFFFFF"/>
        <w:spacing w:beforeAutospacing="0" w:afterAutospacing="0"/>
        <w:jc w:val="both"/>
      </w:pPr>
    </w:p>
    <w:sectPr w:rsidR="00B432ED" w:rsidSect="00B432ED">
      <w:pgSz w:w="16838" w:h="11906" w:orient="landscape"/>
      <w:pgMar w:top="476" w:right="839" w:bottom="476" w:left="12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Q2ZGI5NGIxNzRiN2Y5MjgxOTVmMmQzMDI3NmJlZDEifQ=="/>
  </w:docVars>
  <w:rsids>
    <w:rsidRoot w:val="003A6F7D"/>
    <w:rsid w:val="00084646"/>
    <w:rsid w:val="002A1E15"/>
    <w:rsid w:val="002E0234"/>
    <w:rsid w:val="0038097E"/>
    <w:rsid w:val="003A6F7D"/>
    <w:rsid w:val="004B2DE3"/>
    <w:rsid w:val="008D44BC"/>
    <w:rsid w:val="008F57C5"/>
    <w:rsid w:val="00AD4F66"/>
    <w:rsid w:val="00B41AC1"/>
    <w:rsid w:val="00B432ED"/>
    <w:rsid w:val="07177756"/>
    <w:rsid w:val="10233F8C"/>
    <w:rsid w:val="10386059"/>
    <w:rsid w:val="306503DE"/>
    <w:rsid w:val="40995080"/>
    <w:rsid w:val="465950FC"/>
    <w:rsid w:val="6933274E"/>
    <w:rsid w:val="72CA0E9C"/>
    <w:rsid w:val="79440BE2"/>
    <w:rsid w:val="7C28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2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43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43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432E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sid w:val="00B432E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432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Company>Far123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2024-10-14T07:18:00Z</cp:lastPrinted>
  <dcterms:created xsi:type="dcterms:W3CDTF">2024-10-14T07:19:00Z</dcterms:created>
  <dcterms:modified xsi:type="dcterms:W3CDTF">2024-10-14T07:19:00Z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70D0EB1769FB49FB9F46A829CD3AD816</vt:lpwstr>
  </property>
</Properties>
</file>