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A1" w:rsidRPr="002B59BD" w:rsidRDefault="00E07490" w:rsidP="00C656A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B59BD">
        <w:rPr>
          <w:rFonts w:asciiTheme="majorEastAsia" w:eastAsiaTheme="majorEastAsia" w:hAnsiTheme="majorEastAsia" w:hint="eastAsia"/>
          <w:sz w:val="32"/>
          <w:szCs w:val="32"/>
        </w:rPr>
        <w:t>劳动保障监察案件办理流程图</w: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4.35pt;margin-top:7.65pt;width:101.45pt;height:21.5pt;z-index:251660288;mso-width-relative:margin;mso-height-relative:margin">
            <v:textbox style="mso-next-textbox:#_x0000_s1026">
              <w:txbxContent>
                <w:p w:rsidR="00C656A1" w:rsidRPr="009228AC" w:rsidRDefault="00C656A1" w:rsidP="00D3736A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9228AC">
                    <w:rPr>
                      <w:rFonts w:asciiTheme="minorEastAsia" w:hAnsiTheme="minorEastAsia" w:hint="eastAsia"/>
                      <w:szCs w:val="21"/>
                    </w:rPr>
                    <w:t>一、</w:t>
                  </w:r>
                  <w:r w:rsidR="009228AC" w:rsidRPr="009228AC">
                    <w:rPr>
                      <w:rFonts w:asciiTheme="minorEastAsia" w:hAnsiTheme="minorEastAsia" w:hint="eastAsia"/>
                      <w:szCs w:val="21"/>
                    </w:rPr>
                    <w:t>常规监察抽查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27" type="#_x0000_t202" style="position:absolute;left:0;text-align:left;margin-left:403.85pt;margin-top:7.2pt;width:260.65pt;height:45.75pt;z-index:251661312;mso-width-relative:margin;mso-height-relative:margin">
            <v:textbox style="mso-next-textbox:#_x0000_s1027">
              <w:txbxContent>
                <w:p w:rsidR="009228AC" w:rsidRPr="009228AC" w:rsidRDefault="009228AC" w:rsidP="009228AC">
                  <w:pPr>
                    <w:spacing w:line="240" w:lineRule="exact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9228AC">
                    <w:rPr>
                      <w:rFonts w:asciiTheme="minorEastAsia" w:hAnsiTheme="minorEastAsia" w:cs="Times New Roman" w:hint="eastAsia"/>
                      <w:szCs w:val="21"/>
                    </w:rPr>
                    <w:t>二、诚信评价审查</w:t>
                  </w:r>
                </w:p>
                <w:p w:rsidR="00C656A1" w:rsidRPr="009228AC" w:rsidRDefault="00E62490" w:rsidP="009228AC">
                  <w:pPr>
                    <w:spacing w:line="240" w:lineRule="exact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9228AC">
                    <w:rPr>
                      <w:rFonts w:asciiTheme="minorEastAsia" w:hAnsiTheme="minorEastAsia" w:cs="Times New Roman"/>
                      <w:szCs w:val="21"/>
                    </w:rPr>
                    <w:t>三、上级交办、有关机关移送、下级机关报送的案件</w:t>
                  </w:r>
                </w:p>
                <w:p w:rsidR="009228AC" w:rsidRPr="009228AC" w:rsidRDefault="009228AC" w:rsidP="009228AC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9228AC">
                    <w:rPr>
                      <w:rFonts w:asciiTheme="minorEastAsia" w:hAnsiTheme="minorEastAsia" w:cs="Times New Roman" w:hint="eastAsia"/>
                      <w:szCs w:val="21"/>
                    </w:rPr>
                    <w:t>四、投诉、举报</w:t>
                  </w:r>
                </w:p>
              </w:txbxContent>
            </v:textbox>
          </v:shape>
        </w:pict>
      </w:r>
    </w:p>
    <w:p w:rsidR="00E07490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165.05pt;margin-top:13.55pt;width:0;height:14.8pt;z-index:251699200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46" type="#_x0000_t32" style="position:absolute;left:0;text-align:left;margin-left:164.75pt;margin-top:85.95pt;width:0;height:14.8pt;z-index:251779072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45" type="#_x0000_t32" style="position:absolute;left:0;text-align:left;margin-left:164.75pt;margin-top:49.85pt;width:0;height:14.8pt;z-index:251778048" o:connectortype="straight">
            <v:stroke endarrow="block"/>
          </v:shape>
        </w:pict>
      </w:r>
    </w:p>
    <w:p w:rsidR="009228AC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42" type="#_x0000_t202" style="position:absolute;left:0;text-align:left;margin-left:131.9pt;margin-top:12.75pt;width:65.8pt;height:21.5pt;z-index:251774976;mso-width-relative:margin;mso-height-relative:margin">
            <v:textbox style="mso-next-textbox:#_x0000_s1142">
              <w:txbxContent>
                <w:p w:rsidR="00D3736A" w:rsidRPr="009228AC" w:rsidRDefault="00D3736A" w:rsidP="00D3736A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双随机</w:t>
                  </w:r>
                </w:p>
              </w:txbxContent>
            </v:textbox>
          </v:shape>
        </w:pict>
      </w:r>
    </w:p>
    <w:p w:rsidR="009228AC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58" type="#_x0000_t32" style="position:absolute;left:0;text-align:left;margin-left:536.85pt;margin-top:6.15pt;width:0;height:63.4pt;z-index:251693056" o:connectortype="straight">
            <v:stroke endarrow="block"/>
          </v:shape>
        </w:pict>
      </w:r>
    </w:p>
    <w:p w:rsidR="009228AC" w:rsidRDefault="009228AC">
      <w:pPr>
        <w:rPr>
          <w:rFonts w:asciiTheme="minorEastAsia" w:hAnsiTheme="minorEastAsia"/>
          <w:sz w:val="15"/>
          <w:szCs w:val="15"/>
        </w:rPr>
      </w:pPr>
    </w:p>
    <w:p w:rsidR="009228AC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43" type="#_x0000_t202" style="position:absolute;left:0;text-align:left;margin-left:96.55pt;margin-top:2.25pt;width:135.5pt;height:21.3pt;z-index:251776000;mso-width-relative:margin;mso-height-relative:margin">
            <v:textbox style="mso-next-textbox:#_x0000_s1143">
              <w:txbxContent>
                <w:p w:rsidR="00D3736A" w:rsidRPr="009228AC" w:rsidRDefault="00D3736A" w:rsidP="00D3736A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制定检查计划，法制</w:t>
                  </w:r>
                  <w:r w:rsidR="007125CC">
                    <w:rPr>
                      <w:rFonts w:asciiTheme="minorEastAsia" w:hAnsiTheme="minorEastAsia" w:hint="eastAsia"/>
                      <w:szCs w:val="21"/>
                    </w:rPr>
                    <w:t>备案</w:t>
                  </w:r>
                </w:p>
              </w:txbxContent>
            </v:textbox>
          </v:shape>
        </w:pict>
      </w:r>
    </w:p>
    <w:p w:rsidR="007125CC" w:rsidRDefault="007125CC">
      <w:pPr>
        <w:rPr>
          <w:rFonts w:asciiTheme="minorEastAsia" w:hAnsiTheme="minorEastAsia"/>
          <w:sz w:val="15"/>
          <w:szCs w:val="15"/>
        </w:rPr>
      </w:pPr>
    </w:p>
    <w:p w:rsidR="007125CC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28" type="#_x0000_t202" style="position:absolute;left:0;text-align:left;margin-left:423.3pt;margin-top:7.8pt;width:226.4pt;height:21pt;z-index:251662336;mso-width-relative:margin;mso-height-relative:margin">
            <v:textbox>
              <w:txbxContent>
                <w:p w:rsidR="00C656A1" w:rsidRPr="00D3736A" w:rsidRDefault="00492F5E" w:rsidP="00D3736A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D3736A">
                    <w:rPr>
                      <w:rFonts w:asciiTheme="minorEastAsia" w:hAnsiTheme="minorEastAsia" w:cs="Times New Roman"/>
                      <w:szCs w:val="21"/>
                    </w:rPr>
                    <w:t>如实填写《</w:t>
                  </w:r>
                  <w:r w:rsidR="00D3736A">
                    <w:rPr>
                      <w:rFonts w:asciiTheme="minorEastAsia" w:hAnsiTheme="minorEastAsia" w:cs="Times New Roman" w:hint="eastAsia"/>
                      <w:szCs w:val="21"/>
                    </w:rPr>
                    <w:t>待办</w:t>
                  </w:r>
                  <w:r w:rsidRPr="00D3736A">
                    <w:rPr>
                      <w:rFonts w:asciiTheme="minorEastAsia" w:hAnsiTheme="minorEastAsia" w:cs="Times New Roman"/>
                      <w:szCs w:val="21"/>
                    </w:rPr>
                    <w:t>案件登记表》，做好登记工作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44" type="#_x0000_t202" style="position:absolute;left:0;text-align:left;margin-left:122.65pt;margin-top:7.15pt;width:83.8pt;height:21.5pt;z-index:251777024;mso-width-relative:margin;mso-height-relative:margin">
            <v:textbox style="mso-next-textbox:#_x0000_s1144">
              <w:txbxContent>
                <w:p w:rsidR="00D3736A" w:rsidRPr="009228AC" w:rsidRDefault="00D3736A" w:rsidP="00D3736A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社会公布</w:t>
                  </w:r>
                </w:p>
              </w:txbxContent>
            </v:textbox>
          </v:shape>
        </w:pict>
      </w:r>
    </w:p>
    <w:p w:rsidR="007125CC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98" type="#_x0000_t32" style="position:absolute;left:0;text-align:left;margin-left:536.85pt;margin-top:13.2pt;width:0;height:12.2pt;z-index:251830272" o:connectortype="straigh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97" type="#_x0000_t32" style="position:absolute;left:0;text-align:left;margin-left:165.05pt;margin-top:13.2pt;width:0;height:12.2pt;z-index:251829248" o:connectortype="straigh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95" type="#_x0000_t32" style="position:absolute;left:0;text-align:left;margin-left:206.45pt;margin-top:3.85pt;width:216.85pt;height:0;z-index:251827200" o:connectortype="straight">
            <v:stroke endarrow="block"/>
          </v:shape>
        </w:pict>
      </w:r>
    </w:p>
    <w:p w:rsidR="007125CC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96" type="#_x0000_t32" style="position:absolute;left:0;text-align:left;margin-left:359.8pt;margin-top:9.8pt;width:.05pt;height:17.85pt;z-index:251828224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99" type="#_x0000_t32" style="position:absolute;left:0;text-align:left;margin-left:164.75pt;margin-top:9.8pt;width:372.1pt;height:0;z-index:251831296" o:connectortype="straight"/>
        </w:pict>
      </w:r>
    </w:p>
    <w:p w:rsidR="00596596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33" type="#_x0000_t202" style="position:absolute;left:0;text-align:left;margin-left:293.45pt;margin-top:12.05pt;width:455.95pt;height:91.7pt;z-index:251667456;mso-width-relative:margin;mso-height-relative:margin">
            <v:textbox style="mso-next-textbox:#_x0000_s1033">
              <w:txbxContent>
                <w:p w:rsidR="00492F5E" w:rsidRPr="00DF2C6A" w:rsidRDefault="00492F5E" w:rsidP="00DF2C6A">
                  <w:pPr>
                    <w:spacing w:line="240" w:lineRule="exact"/>
                    <w:jc w:val="center"/>
                    <w:rPr>
                      <w:rFonts w:asciiTheme="minorEastAsia" w:hAnsiTheme="minorEastAsia" w:cs="Times New Roman"/>
                      <w:b/>
                      <w:bCs/>
                      <w:szCs w:val="21"/>
                    </w:rPr>
                  </w:pPr>
                  <w:r w:rsidRPr="00DF2C6A">
                    <w:rPr>
                      <w:rFonts w:asciiTheme="minorEastAsia" w:hAnsiTheme="minorEastAsia" w:cs="Times New Roman"/>
                      <w:b/>
                      <w:bCs/>
                      <w:szCs w:val="21"/>
                    </w:rPr>
                    <w:t>调查取证、听取当事人的陈述申辩</w:t>
                  </w:r>
                </w:p>
                <w:p w:rsidR="00492F5E" w:rsidRPr="00DF2C6A" w:rsidRDefault="00492F5E" w:rsidP="00DF2C6A">
                  <w:pPr>
                    <w:spacing w:line="240" w:lineRule="exact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1</w:t>
                  </w:r>
                  <w:r w:rsidRPr="00DF2C6A">
                    <w:rPr>
                      <w:rFonts w:asciiTheme="minorEastAsia" w:hAnsiTheme="minorEastAsia" w:cs="Times New Roman" w:hint="eastAsia"/>
                      <w:szCs w:val="21"/>
                    </w:rPr>
                    <w:t>.</w:t>
                  </w: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应有两名以上监察员同行，并出示证件。</w:t>
                  </w:r>
                </w:p>
                <w:p w:rsidR="00492F5E" w:rsidRPr="00DF2C6A" w:rsidRDefault="00492F5E" w:rsidP="00DF2C6A">
                  <w:pPr>
                    <w:spacing w:line="240" w:lineRule="exact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2</w:t>
                  </w:r>
                  <w:r w:rsidRPr="00DF2C6A">
                    <w:rPr>
                      <w:rFonts w:asciiTheme="minorEastAsia" w:hAnsiTheme="minorEastAsia" w:cs="Times New Roman" w:hint="eastAsia"/>
                      <w:szCs w:val="21"/>
                    </w:rPr>
                    <w:t>.</w:t>
                  </w: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告知用人单位检查的目的、内容、要求、方法。</w:t>
                  </w:r>
                </w:p>
                <w:p w:rsidR="00492F5E" w:rsidRPr="00DF2C6A" w:rsidRDefault="00492F5E" w:rsidP="00DF2C6A">
                  <w:pPr>
                    <w:spacing w:line="240" w:lineRule="exact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3</w:t>
                  </w:r>
                  <w:r w:rsidRPr="00DF2C6A">
                    <w:rPr>
                      <w:rFonts w:asciiTheme="minorEastAsia" w:hAnsiTheme="minorEastAsia" w:cs="Times New Roman" w:hint="eastAsia"/>
                      <w:szCs w:val="21"/>
                    </w:rPr>
                    <w:t>.</w:t>
                  </w: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了解用人单位遵守劳动法律法规和政策的情况，并要求企业提供有关资料，必要时可发出《劳动</w:t>
                  </w:r>
                  <w:r w:rsidR="00DF2C6A">
                    <w:rPr>
                      <w:rFonts w:asciiTheme="minorEastAsia" w:hAnsiTheme="minorEastAsia" w:cs="Times New Roman" w:hint="eastAsia"/>
                      <w:szCs w:val="21"/>
                    </w:rPr>
                    <w:t>保障</w:t>
                  </w: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监察询问通知书》，约定时间对有关人员进行询问及核对资料。</w:t>
                  </w:r>
                </w:p>
                <w:p w:rsidR="00492F5E" w:rsidRPr="00DF2C6A" w:rsidRDefault="00492F5E" w:rsidP="00DF2C6A">
                  <w:pPr>
                    <w:spacing w:line="240" w:lineRule="exact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4</w:t>
                  </w:r>
                  <w:r w:rsidRPr="00DF2C6A">
                    <w:rPr>
                      <w:rFonts w:asciiTheme="minorEastAsia" w:hAnsiTheme="minorEastAsia" w:cs="Times New Roman" w:hint="eastAsia"/>
                      <w:szCs w:val="21"/>
                    </w:rPr>
                    <w:t>.</w:t>
                  </w: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调查应制作《调查笔录》，并由当事人签名确认。</w:t>
                  </w:r>
                </w:p>
                <w:p w:rsidR="00C656A1" w:rsidRPr="00DF2C6A" w:rsidRDefault="00492F5E" w:rsidP="00DF2C6A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5</w:t>
                  </w:r>
                  <w:r w:rsidRPr="00DF2C6A">
                    <w:rPr>
                      <w:rFonts w:asciiTheme="minorEastAsia" w:hAnsiTheme="minorEastAsia" w:cs="Times New Roman" w:hint="eastAsia"/>
                      <w:szCs w:val="21"/>
                    </w:rPr>
                    <w:t>.</w:t>
                  </w: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作出行政处罚、行政处理、责令改正或撤销立</w:t>
                  </w:r>
                  <w:r w:rsidRPr="00DF2C6A">
                    <w:rPr>
                      <w:rFonts w:asciiTheme="minorEastAsia" w:hAnsiTheme="minorEastAsia" w:hint="eastAsia"/>
                      <w:szCs w:val="21"/>
                    </w:rPr>
                    <w:t>案</w:t>
                  </w:r>
                </w:p>
              </w:txbxContent>
            </v:textbox>
          </v:shape>
        </w:pict>
      </w:r>
    </w:p>
    <w:p w:rsidR="00596596" w:rsidRDefault="00596596">
      <w:pPr>
        <w:rPr>
          <w:rFonts w:asciiTheme="minorEastAsia" w:hAnsiTheme="minorEastAsia"/>
          <w:sz w:val="15"/>
          <w:szCs w:val="15"/>
        </w:rPr>
      </w:pPr>
    </w:p>
    <w:p w:rsidR="00596596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34" type="#_x0000_t202" style="position:absolute;left:0;text-align:left;margin-left:142.7pt;margin-top:.55pt;width:122.75pt;height:59.2pt;z-index:251668480;mso-width-relative:margin;mso-height-relative:margin">
            <v:textbox>
              <w:txbxContent>
                <w:p w:rsidR="00C656A1" w:rsidRPr="00DF2C6A" w:rsidRDefault="00492F5E" w:rsidP="00DF2C6A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证据登记保存</w:t>
                  </w:r>
                </w:p>
                <w:p w:rsidR="00C656A1" w:rsidRPr="00DF2C6A" w:rsidRDefault="00492F5E" w:rsidP="00DF2C6A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在调查过程中，有需要采取证据登记保存措施的，按有关手续办理</w:t>
                  </w:r>
                </w:p>
              </w:txbxContent>
            </v:textbox>
          </v:shape>
        </w:pict>
      </w:r>
    </w:p>
    <w:p w:rsidR="00596596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90" type="#_x0000_t32" style="position:absolute;left:0;text-align:left;margin-left:268.2pt;margin-top:9.35pt;width:22.2pt;height:0;flip:x;z-index:251724800" o:connectortype="straight">
            <v:stroke endarrow="block"/>
          </v:shape>
        </w:pict>
      </w:r>
    </w:p>
    <w:p w:rsidR="00596596" w:rsidRDefault="00596596">
      <w:pPr>
        <w:rPr>
          <w:rFonts w:asciiTheme="minorEastAsia" w:hAnsiTheme="minorEastAsia"/>
          <w:sz w:val="15"/>
          <w:szCs w:val="15"/>
        </w:rPr>
      </w:pPr>
    </w:p>
    <w:p w:rsidR="00596596" w:rsidRDefault="00596596">
      <w:pPr>
        <w:rPr>
          <w:rFonts w:asciiTheme="minorEastAsia" w:hAnsiTheme="minorEastAsia"/>
          <w:sz w:val="15"/>
          <w:szCs w:val="15"/>
        </w:rPr>
      </w:pPr>
    </w:p>
    <w:p w:rsidR="00596596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66" type="#_x0000_t32" style="position:absolute;left:0;text-align:left;margin-left:540.65pt;margin-top:10.15pt;width:.05pt;height:12.4pt;z-index:251701248" o:connectortype="straight">
            <v:stroke endarrow="block"/>
          </v:shape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62" type="#_x0000_t32" style="position:absolute;left:0;text-align:left;margin-left:654.9pt;margin-top:6.55pt;width:0;height:14.8pt;z-index:251697152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61" type="#_x0000_t32" style="position:absolute;left:0;text-align:left;margin-left:418.35pt;margin-top:6.55pt;width:0;height:14.8pt;z-index:251696128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59" type="#_x0000_t32" style="position:absolute;left:0;text-align:left;margin-left:418.15pt;margin-top:6.05pt;width:236.75pt;height:.05pt;flip:y;z-index:251694080" o:connectortype="straight"/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bookmarkStart w:id="0" w:name="_GoBack"/>
      <w:bookmarkEnd w:id="0"/>
      <w:r>
        <w:rPr>
          <w:rFonts w:asciiTheme="minorEastAsia" w:hAnsiTheme="minorEastAsia"/>
          <w:noProof/>
          <w:sz w:val="15"/>
          <w:szCs w:val="15"/>
        </w:rPr>
        <w:pict>
          <v:shape id="_x0000_s1147" type="#_x0000_t202" style="position:absolute;left:0;text-align:left;margin-left:543.4pt;margin-top:6.4pt;width:223.5pt;height:55.95pt;z-index:251780096;mso-width-relative:margin;mso-height-relative:margin">
            <v:textbox style="mso-next-textbox:#_x0000_s1147">
              <w:txbxContent>
                <w:p w:rsidR="00A753EF" w:rsidRPr="00A753EF" w:rsidRDefault="00A753EF" w:rsidP="00A753EF">
                  <w:pPr>
                    <w:spacing w:line="240" w:lineRule="exact"/>
                    <w:jc w:val="center"/>
                    <w:rPr>
                      <w:rFonts w:asciiTheme="minorEastAsia" w:hAnsiTheme="minorEastAsia" w:cs="Times New Roman"/>
                      <w:b/>
                      <w:bCs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b/>
                      <w:bCs/>
                      <w:szCs w:val="21"/>
                    </w:rPr>
                    <w:t>不</w:t>
                  </w:r>
                  <w:r w:rsidRPr="00A753EF">
                    <w:rPr>
                      <w:rFonts w:asciiTheme="minorEastAsia" w:hAnsiTheme="minorEastAsia" w:cs="Times New Roman"/>
                      <w:b/>
                      <w:bCs/>
                      <w:szCs w:val="21"/>
                    </w:rPr>
                    <w:t>立案</w:t>
                  </w:r>
                  <w:r>
                    <w:rPr>
                      <w:rFonts w:asciiTheme="minorEastAsia" w:hAnsiTheme="minorEastAsia" w:cs="Times New Roman" w:hint="eastAsia"/>
                      <w:b/>
                      <w:bCs/>
                      <w:szCs w:val="21"/>
                    </w:rPr>
                    <w:t>案件</w:t>
                  </w:r>
                </w:p>
                <w:p w:rsidR="00A753EF" w:rsidRPr="00A753EF" w:rsidRDefault="00A753EF" w:rsidP="00A753EF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1"/>
                    </w:rPr>
                    <w:t>经法制审核填写</w:t>
                  </w:r>
                  <w:r w:rsidRPr="00A753EF">
                    <w:rPr>
                      <w:rFonts w:asciiTheme="minorEastAsia" w:hAnsiTheme="minorEastAsia" w:cs="Times New Roman"/>
                      <w:szCs w:val="21"/>
                    </w:rPr>
                    <w:t>《劳动</w:t>
                  </w:r>
                  <w:r w:rsidRPr="00A753EF">
                    <w:rPr>
                      <w:rFonts w:asciiTheme="minorEastAsia" w:hAnsiTheme="minorEastAsia" w:cs="Times New Roman" w:hint="eastAsia"/>
                      <w:szCs w:val="21"/>
                    </w:rPr>
                    <w:t>保障</w:t>
                  </w:r>
                  <w:r w:rsidRPr="00A753EF">
                    <w:rPr>
                      <w:rFonts w:asciiTheme="minorEastAsia" w:hAnsiTheme="minorEastAsia" w:cs="Times New Roman"/>
                      <w:szCs w:val="21"/>
                    </w:rPr>
                    <w:t>监察</w:t>
                  </w:r>
                  <w:r>
                    <w:rPr>
                      <w:rFonts w:asciiTheme="minorEastAsia" w:hAnsiTheme="minorEastAsia" w:cs="Times New Roman" w:hint="eastAsia"/>
                      <w:szCs w:val="21"/>
                    </w:rPr>
                    <w:t>不予</w:t>
                  </w:r>
                  <w:r w:rsidRPr="00A753EF">
                    <w:rPr>
                      <w:rFonts w:asciiTheme="minorEastAsia" w:hAnsiTheme="minorEastAsia" w:cs="Times New Roman"/>
                      <w:szCs w:val="21"/>
                    </w:rPr>
                    <w:t>立案审批表》，</w:t>
                  </w:r>
                  <w:r>
                    <w:rPr>
                      <w:rFonts w:asciiTheme="minorEastAsia" w:hAnsiTheme="minorEastAsia" w:cs="Times New Roman" w:hint="eastAsia"/>
                      <w:szCs w:val="21"/>
                    </w:rPr>
                    <w:t>存档结案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32" type="#_x0000_t202" style="position:absolute;left:0;text-align:left;margin-left:291.8pt;margin-top:6.4pt;width:248.85pt;height:55.95pt;z-index:251666432;mso-width-relative:margin;mso-height-relative:margin">
            <v:textbox style="mso-next-textbox:#_x0000_s1032">
              <w:txbxContent>
                <w:p w:rsidR="00492F5E" w:rsidRPr="00A753EF" w:rsidRDefault="00492F5E" w:rsidP="00A753EF">
                  <w:pPr>
                    <w:spacing w:line="240" w:lineRule="exact"/>
                    <w:jc w:val="center"/>
                    <w:rPr>
                      <w:rFonts w:asciiTheme="minorEastAsia" w:hAnsiTheme="minorEastAsia" w:cs="Times New Roman"/>
                      <w:b/>
                      <w:bCs/>
                      <w:szCs w:val="21"/>
                    </w:rPr>
                  </w:pPr>
                  <w:r w:rsidRPr="00A753EF">
                    <w:rPr>
                      <w:rFonts w:asciiTheme="minorEastAsia" w:hAnsiTheme="minorEastAsia" w:cs="Times New Roman"/>
                      <w:b/>
                      <w:bCs/>
                      <w:szCs w:val="21"/>
                    </w:rPr>
                    <w:t>立案</w:t>
                  </w:r>
                </w:p>
                <w:p w:rsidR="00C656A1" w:rsidRPr="00A753EF" w:rsidRDefault="00D3736A" w:rsidP="00A753EF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A753EF">
                    <w:rPr>
                      <w:rFonts w:asciiTheme="minorEastAsia" w:hAnsiTheme="minorEastAsia" w:cs="Times New Roman"/>
                      <w:szCs w:val="21"/>
                    </w:rPr>
                    <w:t>应在5个工作日</w:t>
                  </w:r>
                  <w:r w:rsidRPr="00A753EF">
                    <w:rPr>
                      <w:rFonts w:asciiTheme="minorEastAsia" w:hAnsiTheme="minorEastAsia" w:cs="Times New Roman" w:hint="eastAsia"/>
                      <w:szCs w:val="21"/>
                    </w:rPr>
                    <w:t>内</w:t>
                  </w:r>
                  <w:r w:rsidR="00492F5E" w:rsidRPr="00A753EF">
                    <w:rPr>
                      <w:rFonts w:asciiTheme="minorEastAsia" w:hAnsiTheme="minorEastAsia" w:cs="Times New Roman"/>
                      <w:szCs w:val="21"/>
                    </w:rPr>
                    <w:t>填写《劳动</w:t>
                  </w:r>
                  <w:r w:rsidR="00A753EF" w:rsidRPr="00A753EF">
                    <w:rPr>
                      <w:rFonts w:asciiTheme="minorEastAsia" w:hAnsiTheme="minorEastAsia" w:cs="Times New Roman" w:hint="eastAsia"/>
                      <w:szCs w:val="21"/>
                    </w:rPr>
                    <w:t>保障</w:t>
                  </w:r>
                  <w:r w:rsidR="00492F5E" w:rsidRPr="00A753EF">
                    <w:rPr>
                      <w:rFonts w:asciiTheme="minorEastAsia" w:hAnsiTheme="minorEastAsia" w:cs="Times New Roman"/>
                      <w:szCs w:val="21"/>
                    </w:rPr>
                    <w:t>监察立案审批表》，报劳动保障监察机构负责人审批，批准之日即为立案之日</w:t>
                  </w:r>
                </w:p>
              </w:txbxContent>
            </v:textbox>
          </v:shape>
        </w:pict>
      </w:r>
    </w:p>
    <w:p w:rsidR="00596596" w:rsidRDefault="00596596">
      <w:pPr>
        <w:rPr>
          <w:rFonts w:asciiTheme="minorEastAsia" w:hAnsiTheme="minorEastAsia"/>
          <w:sz w:val="15"/>
          <w:szCs w:val="15"/>
        </w:rPr>
      </w:pPr>
    </w:p>
    <w:p w:rsidR="00E07490" w:rsidRPr="004E67EB" w:rsidRDefault="00E07490">
      <w:pPr>
        <w:rPr>
          <w:rFonts w:asciiTheme="minorEastAsia" w:hAnsiTheme="minorEastAsia"/>
          <w:sz w:val="15"/>
          <w:szCs w:val="15"/>
        </w:rPr>
      </w:pPr>
    </w:p>
    <w:p w:rsidR="00E07490" w:rsidRPr="004E67EB" w:rsidRDefault="00E07490">
      <w:pPr>
        <w:rPr>
          <w:rFonts w:asciiTheme="minorEastAsia" w:hAnsiTheme="minorEastAsia"/>
          <w:sz w:val="15"/>
          <w:szCs w:val="15"/>
        </w:rPr>
      </w:pP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87" type="#_x0000_t32" style="position:absolute;left:0;text-align:left;margin-left:409.75pt;margin-top:-.05pt;width:.05pt;height:77.5pt;z-index:251721728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86" type="#_x0000_t32" style="position:absolute;left:0;text-align:left;margin-left:310.95pt;margin-top:10.4pt;width:0;height:14.8pt;z-index:251720704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89" type="#_x0000_t32" style="position:absolute;left:0;text-align:left;margin-left:513.8pt;margin-top:10.4pt;width:0;height:14.8pt;z-index:251723776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88" type="#_x0000_t32" style="position:absolute;left:0;text-align:left;margin-left:310.95pt;margin-top:10.4pt;width:202.85pt;height:0;z-index:251722752" o:connectortype="straight"/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45" type="#_x0000_t202" style="position:absolute;left:0;text-align:left;margin-left:461pt;margin-top:9.6pt;width:271.95pt;height:34.8pt;z-index:251679744;mso-width-relative:margin;mso-height-relative:margin">
            <v:textbox style="mso-next-textbox:#_x0000_s1045">
              <w:txbxContent>
                <w:p w:rsidR="00C656A1" w:rsidRPr="00DF2C6A" w:rsidRDefault="00B636BF" w:rsidP="00DF2C6A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DF2C6A">
                    <w:rPr>
                      <w:rFonts w:asciiTheme="minorEastAsia" w:hAnsiTheme="minorEastAsia"/>
                      <w:szCs w:val="21"/>
                    </w:rPr>
                    <w:t>经调查，发现用人单位确实存在违法行为的，发出《劳动</w:t>
                  </w:r>
                  <w:r w:rsidR="00DF2C6A" w:rsidRPr="00DF2C6A">
                    <w:rPr>
                      <w:rFonts w:asciiTheme="minorEastAsia" w:hAnsiTheme="minorEastAsia" w:hint="eastAsia"/>
                      <w:szCs w:val="21"/>
                    </w:rPr>
                    <w:t>保障</w:t>
                  </w:r>
                  <w:r w:rsidRPr="00DF2C6A">
                    <w:rPr>
                      <w:rFonts w:asciiTheme="minorEastAsia" w:hAnsiTheme="minorEastAsia"/>
                      <w:szCs w:val="21"/>
                    </w:rPr>
                    <w:t>监察</w:t>
                  </w:r>
                  <w:r w:rsidR="00DF2C6A" w:rsidRPr="00DF2C6A">
                    <w:rPr>
                      <w:rFonts w:asciiTheme="minorEastAsia" w:hAnsiTheme="minorEastAsia" w:hint="eastAsia"/>
                      <w:szCs w:val="21"/>
                    </w:rPr>
                    <w:t>限期改正</w:t>
                  </w:r>
                  <w:r w:rsidRPr="00DF2C6A">
                    <w:rPr>
                      <w:rFonts w:asciiTheme="minorEastAsia" w:hAnsiTheme="minorEastAsia"/>
                      <w:szCs w:val="21"/>
                    </w:rPr>
                    <w:t>指令书》，责令用人单位限期整改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46" type="#_x0000_t202" style="position:absolute;left:0;text-align:left;margin-left:51.1pt;margin-top:9.6pt;width:301.3pt;height:46.05pt;z-index:251680768;mso-width-relative:margin;mso-height-relative:margin">
            <v:textbox style="mso-next-textbox:#_x0000_s1046">
              <w:txbxContent>
                <w:p w:rsidR="00C656A1" w:rsidRPr="00DF2C6A" w:rsidRDefault="0065257B" w:rsidP="00DF2C6A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DF2C6A">
                    <w:rPr>
                      <w:rFonts w:asciiTheme="minorEastAsia" w:hAnsiTheme="minorEastAsia" w:cs="Times New Roman"/>
                      <w:szCs w:val="21"/>
                    </w:rPr>
                    <w:t>撤销立案</w:t>
                  </w:r>
                </w:p>
                <w:p w:rsidR="00C656A1" w:rsidRPr="00DF2C6A" w:rsidRDefault="00B636BF" w:rsidP="00DF2C6A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DF2C6A">
                    <w:rPr>
                      <w:rFonts w:asciiTheme="minorEastAsia" w:hAnsiTheme="minorEastAsia"/>
                      <w:szCs w:val="21"/>
                    </w:rPr>
                    <w:t>对情节轻微，用人单位已改正的，或违法事实不能成立的，填写《劳动保障监察撤</w:t>
                  </w:r>
                  <w:r w:rsidR="00DF2C6A" w:rsidRPr="00DF2C6A">
                    <w:rPr>
                      <w:rFonts w:asciiTheme="minorEastAsia" w:hAnsiTheme="minorEastAsia" w:hint="eastAsia"/>
                      <w:szCs w:val="21"/>
                    </w:rPr>
                    <w:t>销立</w:t>
                  </w:r>
                  <w:r w:rsidRPr="00DF2C6A">
                    <w:rPr>
                      <w:rFonts w:asciiTheme="minorEastAsia" w:hAnsiTheme="minorEastAsia"/>
                      <w:szCs w:val="21"/>
                    </w:rPr>
                    <w:t>案审批表》，撤消立案</w:t>
                  </w:r>
                </w:p>
              </w:txbxContent>
            </v:textbox>
          </v:shape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91" type="#_x0000_t32" style="position:absolute;left:0;text-align:left;margin-left:409.75pt;margin-top:9.9pt;width:51.25pt;height:0;flip:x;z-index:251725824" o:connectortype="straight">
            <v:stroke endarrow="block"/>
          </v:shape>
        </w:pict>
      </w:r>
    </w:p>
    <w:p w:rsidR="00E07490" w:rsidRPr="004E67EB" w:rsidRDefault="00E07490">
      <w:pPr>
        <w:rPr>
          <w:rFonts w:asciiTheme="minorEastAsia" w:hAnsiTheme="minorEastAsia"/>
          <w:sz w:val="15"/>
          <w:szCs w:val="15"/>
        </w:rPr>
      </w:pP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92" type="#_x0000_t32" style="position:absolute;left:0;text-align:left;margin-left:284.25pt;margin-top:15.05pt;width:0;height:14.8pt;z-index:251726848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93" type="#_x0000_t32" style="position:absolute;left:0;text-align:left;margin-left:526.9pt;margin-top:15.05pt;width:0;height:14.8pt;z-index:251727872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94" type="#_x0000_t32" style="position:absolute;left:0;text-align:left;margin-left:284.25pt;margin-top:15pt;width:242.65pt;height:.05pt;z-index:251728896" o:connectortype="straight"/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48" type="#_x0000_t202" style="position:absolute;left:0;text-align:left;margin-left:412.95pt;margin-top:14.25pt;width:294.2pt;height:44.45pt;z-index:251682816;mso-width-relative:margin;mso-height-relative:margin">
            <v:textbox style="mso-next-textbox:#_x0000_s1048">
              <w:txbxContent>
                <w:p w:rsidR="00C656A1" w:rsidRPr="00772703" w:rsidRDefault="008025C4" w:rsidP="00772703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772703">
                    <w:rPr>
                      <w:rFonts w:asciiTheme="minorEastAsia" w:hAnsiTheme="minorEastAsia" w:cs="Times New Roman"/>
                      <w:szCs w:val="21"/>
                    </w:rPr>
                    <w:t>作出行政处罚决定</w:t>
                  </w:r>
                </w:p>
                <w:p w:rsidR="00C656A1" w:rsidRPr="00772703" w:rsidRDefault="008025C4" w:rsidP="00772703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772703">
                    <w:rPr>
                      <w:rFonts w:asciiTheme="minorEastAsia" w:hAnsiTheme="minorEastAsia" w:cs="Times New Roman"/>
                      <w:szCs w:val="21"/>
                    </w:rPr>
                    <w:t>1、对依法应当受到行政处罚的，应依法作出行政处罚决定</w:t>
                  </w:r>
                </w:p>
                <w:p w:rsidR="00C656A1" w:rsidRPr="00772703" w:rsidRDefault="00FB19AF" w:rsidP="00772703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772703">
                    <w:rPr>
                      <w:rFonts w:asciiTheme="minorEastAsia" w:hAnsiTheme="minorEastAsia" w:cs="Times New Roman"/>
                      <w:szCs w:val="21"/>
                    </w:rPr>
                    <w:t>2、拒不执行《劳动</w:t>
                  </w:r>
                  <w:r w:rsidR="00DF2C6A" w:rsidRPr="00772703">
                    <w:rPr>
                      <w:rFonts w:asciiTheme="minorEastAsia" w:hAnsiTheme="minorEastAsia" w:cs="Times New Roman" w:hint="eastAsia"/>
                      <w:szCs w:val="21"/>
                    </w:rPr>
                    <w:t>保障</w:t>
                  </w:r>
                  <w:r w:rsidRPr="00772703">
                    <w:rPr>
                      <w:rFonts w:asciiTheme="minorEastAsia" w:hAnsiTheme="minorEastAsia" w:cs="Times New Roman"/>
                      <w:szCs w:val="21"/>
                    </w:rPr>
                    <w:t>监察</w:t>
                  </w:r>
                  <w:r w:rsidR="00DF2C6A" w:rsidRPr="00772703">
                    <w:rPr>
                      <w:rFonts w:asciiTheme="minorEastAsia" w:hAnsiTheme="minorEastAsia" w:cs="Times New Roman" w:hint="eastAsia"/>
                      <w:szCs w:val="21"/>
                    </w:rPr>
                    <w:t>限期改正</w:t>
                  </w:r>
                  <w:r w:rsidRPr="00772703">
                    <w:rPr>
                      <w:rFonts w:asciiTheme="minorEastAsia" w:hAnsiTheme="minorEastAsia" w:cs="Times New Roman"/>
                      <w:szCs w:val="21"/>
                    </w:rPr>
                    <w:t>指令书》的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47" type="#_x0000_t202" style="position:absolute;left:0;text-align:left;margin-left:21.5pt;margin-top:14.25pt;width:330.9pt;height:36.2pt;z-index:251681792;mso-width-relative:margin;mso-height-relative:margin">
            <v:textbox style="mso-next-textbox:#_x0000_s1047">
              <w:txbxContent>
                <w:p w:rsidR="00C656A1" w:rsidRPr="00772703" w:rsidRDefault="00B636BF" w:rsidP="00772703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772703">
                    <w:rPr>
                      <w:rFonts w:asciiTheme="minorEastAsia" w:hAnsiTheme="minorEastAsia"/>
                      <w:szCs w:val="21"/>
                    </w:rPr>
                    <w:t>作出行政处理决定</w:t>
                  </w:r>
                </w:p>
                <w:p w:rsidR="00C656A1" w:rsidRPr="00772703" w:rsidRDefault="00B636BF" w:rsidP="00772703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772703">
                    <w:rPr>
                      <w:rFonts w:asciiTheme="minorEastAsia" w:hAnsiTheme="minorEastAsia"/>
                      <w:szCs w:val="21"/>
                    </w:rPr>
                    <w:t>应当改正未改正的，依法责令改正或者作出相应的行政处理决定</w:t>
                  </w:r>
                </w:p>
              </w:txbxContent>
            </v:textbox>
          </v:shape>
        </w:pict>
      </w:r>
    </w:p>
    <w:p w:rsidR="00E07490" w:rsidRPr="004E67EB" w:rsidRDefault="00E07490">
      <w:pPr>
        <w:rPr>
          <w:rFonts w:asciiTheme="minorEastAsia" w:hAnsiTheme="minorEastAsia"/>
          <w:sz w:val="15"/>
          <w:szCs w:val="15"/>
        </w:rPr>
      </w:pPr>
    </w:p>
    <w:p w:rsidR="00E07490" w:rsidRPr="004E67EB" w:rsidRDefault="00E07490">
      <w:pPr>
        <w:rPr>
          <w:rFonts w:asciiTheme="minorEastAsia" w:hAnsiTheme="minorEastAsia"/>
          <w:sz w:val="15"/>
          <w:szCs w:val="15"/>
        </w:rPr>
      </w:pP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96" type="#_x0000_t32" style="position:absolute;left:0;text-align:left;margin-left:483.8pt;margin-top:11.9pt;width:0;height:8.85pt;z-index:251730944" o:connectortype="straigh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97" type="#_x0000_t32" style="position:absolute;left:0;text-align:left;margin-left:284.25pt;margin-top:3.65pt;width:0;height:17.2pt;z-index:251731968" o:connectortype="straight"/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53" type="#_x0000_t202" style="position:absolute;left:0;text-align:left;margin-left:540.65pt;margin-top:5.25pt;width:219.75pt;height:57pt;z-index:251687936;mso-width-relative:margin;mso-height-relative:margin">
            <v:textbox style="mso-next-textbox:#_x0000_s1053">
              <w:txbxContent>
                <w:p w:rsidR="00FB19AF" w:rsidRPr="00772703" w:rsidRDefault="00FB19AF" w:rsidP="00772703">
                  <w:pPr>
                    <w:spacing w:line="240" w:lineRule="exact"/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772703">
                    <w:rPr>
                      <w:rFonts w:asciiTheme="minorEastAsia" w:hAnsiTheme="minorEastAsia" w:cs="Times New Roman"/>
                      <w:szCs w:val="21"/>
                    </w:rPr>
                    <w:t>听证程序</w:t>
                  </w:r>
                </w:p>
                <w:p w:rsidR="00C656A1" w:rsidRPr="00772703" w:rsidRDefault="00FB19AF" w:rsidP="00772703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772703">
                    <w:rPr>
                      <w:rFonts w:asciiTheme="minorEastAsia" w:hAnsiTheme="minorEastAsia" w:cs="Times New Roman"/>
                      <w:szCs w:val="21"/>
                    </w:rPr>
                    <w:t>作出责令停产停业、吊销许可证或者执照、数额较大罚款等行政处罚的，当事人可要求听证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50" type="#_x0000_t202" style="position:absolute;left:0;text-align:left;margin-left:19.65pt;margin-top:12.15pt;width:218.25pt;height:33.75pt;z-index:251782144;mso-width-relative:margin;mso-height-relative:margin">
            <v:textbox style="mso-next-textbox:#_x0000_s1150">
              <w:txbxContent>
                <w:p w:rsidR="00772703" w:rsidRPr="00772703" w:rsidRDefault="00772703" w:rsidP="00772703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复杂、重大行政处罚（处理）案件集体讨论后向法制部门备案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98" type="#_x0000_t32" style="position:absolute;left:0;text-align:left;margin-left:391.75pt;margin-top:5.25pt;width:0;height:14.8pt;z-index:251732992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95" type="#_x0000_t32" style="position:absolute;left:0;text-align:left;margin-left:284.25pt;margin-top:5.15pt;width:199.55pt;height:.1pt;flip:y;z-index:251729920" o:connectortype="straight"/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49" type="#_x0000_t202" style="position:absolute;left:0;text-align:left;margin-left:283.9pt;margin-top:4.45pt;width:218.25pt;height:21.2pt;z-index:251683840;mso-width-relative:margin;mso-height-relative:margin">
            <v:textbox style="mso-next-textbox:#_x0000_s1049">
              <w:txbxContent>
                <w:p w:rsidR="00C656A1" w:rsidRPr="00772703" w:rsidRDefault="00FB19AF" w:rsidP="00772703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772703">
                    <w:rPr>
                      <w:rFonts w:asciiTheme="minorEastAsia" w:hAnsiTheme="minorEastAsia" w:hint="eastAsia"/>
                      <w:szCs w:val="21"/>
                    </w:rPr>
                    <w:t>填写《行政处罚报批表》/《行政处理报批表》</w:t>
                  </w:r>
                </w:p>
              </w:txbxContent>
            </v:textbox>
          </v:shape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99" type="#_x0000_t32" style="position:absolute;left:0;text-align:left;margin-left:391.75pt;margin-top:10.05pt;width:0;height:14.8pt;z-index:251734016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00" type="#_x0000_t32" style="position:absolute;left:0;text-align:left;margin-left:502.15pt;margin-top:-.3pt;width:38.5pt;height:0;flip:x;z-index:251735040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51" type="#_x0000_t32" style="position:absolute;left:0;text-align:left;margin-left:237.9pt;margin-top:-.3pt;width:44.3pt;height:0;z-index:251783168" o:connectortype="straight">
            <v:stroke endarrow="block"/>
          </v:shape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61" type="#_x0000_t202" style="position:absolute;left:0;text-align:left;margin-left:304.7pt;margin-top:9.25pt;width:174.55pt;height:32.95pt;z-index:251793408;mso-width-relative:margin;mso-height-relative:margin">
            <v:textbox>
              <w:txbxContent>
                <w:p w:rsidR="00DD1A7D" w:rsidRPr="00DD1A7D" w:rsidRDefault="00DD1A7D" w:rsidP="00DD1A7D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1"/>
                    </w:rPr>
                    <w:t>依法作出劳动保障监察行政处理、处罚事先（听证）告知书</w:t>
                  </w:r>
                </w:p>
              </w:txbxContent>
            </v:textbox>
          </v:shape>
        </w:pict>
      </w:r>
    </w:p>
    <w:p w:rsidR="00772703" w:rsidRDefault="00772703">
      <w:pPr>
        <w:rPr>
          <w:rFonts w:asciiTheme="minorEastAsia" w:hAnsiTheme="minorEastAsia"/>
          <w:sz w:val="15"/>
          <w:szCs w:val="15"/>
        </w:rPr>
      </w:pPr>
    </w:p>
    <w:p w:rsidR="00772703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07" type="#_x0000_t32" style="position:absolute;left:0;text-align:left;margin-left:391.75pt;margin-top:11pt;width:0;height:14.8pt;z-index:251742208" o:connectortype="straight">
            <v:stroke endarrow="block"/>
          </v:shape>
        </w:pict>
      </w:r>
    </w:p>
    <w:p w:rsidR="00772703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58" type="#_x0000_t202" style="position:absolute;left:0;text-align:left;margin-left:7.35pt;margin-top:7.65pt;width:199.1pt;height:35.3pt;z-index:251790336;mso-width-relative:margin;mso-height-relative:margin">
            <v:textbox>
              <w:txbxContent>
                <w:p w:rsidR="00DD1A7D" w:rsidRPr="00DD1A7D" w:rsidRDefault="00DD1A7D" w:rsidP="00DD1A7D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1"/>
                    </w:rPr>
                    <w:t>作出处罚决定20个工作日，对抽查情况及查处结果进行社会公布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56" type="#_x0000_t202" style="position:absolute;left:0;text-align:left;margin-left:600.2pt;margin-top:1.8pt;width:149.2pt;height:20.65pt;z-index:251788288;mso-width-relative:margin;mso-height-relative:margin">
            <v:textbox>
              <w:txbxContent>
                <w:p w:rsidR="00DD1A7D" w:rsidRPr="00DD1A7D" w:rsidRDefault="00DD1A7D" w:rsidP="00DD1A7D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DD1A7D">
                    <w:rPr>
                      <w:rFonts w:asciiTheme="minorEastAsia" w:hAnsiTheme="minorEastAsia" w:hint="eastAsia"/>
                      <w:szCs w:val="21"/>
                    </w:rPr>
                    <w:t>重大劳动保障违法行为公布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05" type="#_x0000_t32" style="position:absolute;left:0;text-align:left;margin-left:588.45pt;margin-top:12.15pt;width:11.75pt;height:0;z-index:251740160" o:connectortype="straigh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04" type="#_x0000_t32" style="position:absolute;left:0;text-align:left;margin-left:588.7pt;margin-top:12.15pt;width:0;height:27.65pt;z-index:251739136" o:connectortype="straigh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50" type="#_x0000_t202" style="position:absolute;left:0;text-align:left;margin-left:228.9pt;margin-top:10.2pt;width:335.6pt;height:32.75pt;z-index:251684864;mso-width-relative:margin;mso-height-relative:margin">
            <v:textbox>
              <w:txbxContent>
                <w:p w:rsidR="00C656A1" w:rsidRPr="00DD1A7D" w:rsidRDefault="00FB19AF" w:rsidP="00DD1A7D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DD1A7D">
                    <w:rPr>
                      <w:rFonts w:asciiTheme="minorEastAsia" w:hAnsiTheme="minorEastAsia" w:cs="Times New Roman"/>
                      <w:szCs w:val="21"/>
                    </w:rPr>
                    <w:t>依法作出《行政处罚决定书》/《行政处理决定书》，并按照</w:t>
                  </w:r>
                  <w:r w:rsidRPr="00DD1A7D">
                    <w:rPr>
                      <w:rFonts w:asciiTheme="minorEastAsia" w:hAnsiTheme="minorEastAsia" w:cs="Times New Roman" w:hint="eastAsia"/>
                      <w:szCs w:val="21"/>
                    </w:rPr>
                    <w:t>相关</w:t>
                  </w:r>
                  <w:r w:rsidRPr="00DD1A7D">
                    <w:rPr>
                      <w:rFonts w:asciiTheme="minorEastAsia" w:hAnsiTheme="minorEastAsia" w:cs="Times New Roman"/>
                      <w:szCs w:val="21"/>
                    </w:rPr>
                    <w:t>规定</w:t>
                  </w:r>
                  <w:r w:rsidRPr="00DD1A7D">
                    <w:rPr>
                      <w:rFonts w:asciiTheme="minorEastAsia" w:hAnsiTheme="minorEastAsia" w:cs="Times New Roman"/>
                      <w:b/>
                      <w:bCs/>
                      <w:szCs w:val="21"/>
                    </w:rPr>
                    <w:t>送达当事人</w:t>
                  </w:r>
                </w:p>
              </w:txbxContent>
            </v:textbox>
          </v:shape>
        </w:pict>
      </w:r>
    </w:p>
    <w:p w:rsidR="00CC637E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59" type="#_x0000_t32" style="position:absolute;left:0;text-align:left;margin-left:206.3pt;margin-top:10.6pt;width:22.6pt;height:0;flip:x;z-index:251791360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57" type="#_x0000_t202" style="position:absolute;left:0;text-align:left;margin-left:600.2pt;margin-top:10.6pt;width:166.7pt;height:20.65pt;z-index:251789312;mso-width-relative:margin;mso-height-relative:margin">
            <v:textbox>
              <w:txbxContent>
                <w:p w:rsidR="00DD1A7D" w:rsidRPr="00DD1A7D" w:rsidRDefault="00DD1A7D" w:rsidP="00DD1A7D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DD1A7D">
                    <w:rPr>
                      <w:rFonts w:asciiTheme="minorEastAsia" w:hAnsiTheme="minorEastAsia" w:hint="eastAsia"/>
                      <w:szCs w:val="21"/>
                    </w:rPr>
                    <w:t>劳动保障违法行为红黑名单公布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02" type="#_x0000_t32" style="position:absolute;left:0;text-align:left;margin-left:564.5pt;margin-top:10.6pt;width:24.2pt;height:0;z-index:251737088" o:connectortype="straight">
            <v:stroke endarrow="block"/>
          </v:shape>
        </w:pict>
      </w:r>
    </w:p>
    <w:p w:rsidR="00CC637E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63" type="#_x0000_t32" style="position:absolute;left:0;text-align:left;margin-left:391.75pt;margin-top:11.75pt;width:0;height:14.8pt;z-index:251795456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62" type="#_x0000_t32" style="position:absolute;left:0;text-align:left;margin-left:588.45pt;margin-top:8.6pt;width:11.75pt;height:0;z-index:251794432" o:connectortype="straight"/>
        </w:pict>
      </w:r>
    </w:p>
    <w:p w:rsidR="00CC637E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64" type="#_x0000_t202" style="position:absolute;left:0;text-align:left;margin-left:364.3pt;margin-top:10.95pt;width:53.85pt;height:21.7pt;z-index:251796480;mso-width-relative:margin;mso-height-relative:margin">
            <v:textbox>
              <w:txbxContent>
                <w:p w:rsidR="00AB04A7" w:rsidRPr="00DD1A7D" w:rsidRDefault="00AB04A7" w:rsidP="00AB04A7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1"/>
                    </w:rPr>
                    <w:t>执行</w:t>
                  </w:r>
                </w:p>
              </w:txbxContent>
            </v:textbox>
          </v:shape>
        </w:pict>
      </w:r>
    </w:p>
    <w:p w:rsidR="00CC637E" w:rsidRDefault="00CC637E">
      <w:pPr>
        <w:rPr>
          <w:rFonts w:asciiTheme="minorEastAsia" w:hAnsiTheme="minorEastAsia"/>
          <w:sz w:val="15"/>
          <w:szCs w:val="15"/>
        </w:rPr>
      </w:pPr>
    </w:p>
    <w:p w:rsidR="00CC637E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10" type="#_x0000_t32" style="position:absolute;left:0;text-align:left;margin-left:604.7pt;margin-top:13.85pt;width:0;height:14.8pt;z-index:251745280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08" type="#_x0000_t32" style="position:absolute;left:0;text-align:left;margin-left:185.1pt;margin-top:13.7pt;width:0;height:14.8pt;z-index:251743232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09" type="#_x0000_t32" style="position:absolute;left:0;text-align:left;margin-left:184.85pt;margin-top:13.8pt;width:420.15pt;height:.05pt;z-index:251744256" o:connectortype="straigh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65" type="#_x0000_t32" style="position:absolute;left:0;text-align:left;margin-left:391.1pt;margin-top:13.85pt;width:0;height:14.8pt;z-index:251797504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66" type="#_x0000_t32" style="position:absolute;left:0;text-align:left;margin-left:390.55pt;margin-top:1.45pt;width:0;height:12.35pt;z-index:251798528" o:connectortype="straight"/>
        </w:pict>
      </w:r>
    </w:p>
    <w:p w:rsidR="00CC637E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056" type="#_x0000_t202" style="position:absolute;left:0;text-align:left;margin-left:2.8pt;margin-top:13.05pt;width:241.35pt;height:35.05pt;z-index:251691008;mso-width-relative:margin;mso-height-relative:margin">
            <v:textbox>
              <w:txbxContent>
                <w:p w:rsidR="00C656A1" w:rsidRPr="00AB04A7" w:rsidRDefault="00041B09" w:rsidP="00AB04A7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AB04A7">
                    <w:rPr>
                      <w:rFonts w:asciiTheme="minorEastAsia" w:hAnsiTheme="minorEastAsia" w:hint="eastAsia"/>
                      <w:szCs w:val="21"/>
                    </w:rPr>
                    <w:t>在法定期限内不申请复议、不提起诉讼，又不执行的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12" type="#_x0000_t202" style="position:absolute;left:0;text-align:left;margin-left:253.6pt;margin-top:13.05pt;width:283.25pt;height:35.05pt;z-index:251747328;mso-width-relative:margin;mso-height-relative:margin">
            <v:textbox>
              <w:txbxContent>
                <w:p w:rsidR="00C656A1" w:rsidRPr="00AB04A7" w:rsidRDefault="00041B09" w:rsidP="00AB04A7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AB04A7">
                    <w:rPr>
                      <w:rFonts w:asciiTheme="minorEastAsia" w:hAnsiTheme="minorEastAsia" w:hint="eastAsia"/>
                      <w:szCs w:val="21"/>
                    </w:rPr>
                    <w:t>当事人不服行政处罚/处理决定的，申请行政复议或向法院起诉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057" type="#_x0000_t202" style="position:absolute;left:0;text-align:left;margin-left:558.5pt;margin-top:13.05pt;width:102.6pt;height:20.85pt;z-index:251692032;mso-width-relative:margin;mso-height-relative:margin">
            <v:textbox>
              <w:txbxContent>
                <w:p w:rsidR="00C656A1" w:rsidRPr="00AB04A7" w:rsidRDefault="00041B09" w:rsidP="00AB04A7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AB04A7">
                    <w:rPr>
                      <w:rFonts w:asciiTheme="minorEastAsia" w:hAnsiTheme="minorEastAsia" w:hint="eastAsia"/>
                      <w:szCs w:val="21"/>
                    </w:rPr>
                    <w:t>当事人自觉执行的</w:t>
                  </w:r>
                </w:p>
              </w:txbxContent>
            </v:textbox>
          </v:shape>
        </w:pict>
      </w:r>
    </w:p>
    <w:p w:rsidR="00CC637E" w:rsidRDefault="00CC637E">
      <w:pPr>
        <w:rPr>
          <w:rFonts w:asciiTheme="minorEastAsia" w:hAnsiTheme="minorEastAsia"/>
          <w:sz w:val="15"/>
          <w:szCs w:val="15"/>
        </w:rPr>
      </w:pPr>
    </w:p>
    <w:p w:rsidR="00772703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36" type="#_x0000_t32" style="position:absolute;left:0;text-align:left;margin-left:612.6pt;margin-top:2.7pt;width:.05pt;height:187.8pt;z-index:251769856" o:connectortype="straight"/>
        </w:pict>
      </w:r>
    </w:p>
    <w:p w:rsidR="00DD1A7D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38" type="#_x0000_t32" style="position:absolute;left:0;text-align:left;margin-left:91.1pt;margin-top:3.95pt;width:0;height:153.75pt;z-index:251771904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13" type="#_x0000_t32" style="position:absolute;left:0;text-align:left;margin-left:391.75pt;margin-top:1.35pt;width:0;height:14.8pt;z-index:251748352" o:connectortype="straight">
            <v:stroke endarrow="block"/>
          </v:shape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15" type="#_x0000_t32" style="position:absolute;left:0;text-align:left;margin-left:272.75pt;margin-top:.6pt;width:0;height:14.8pt;z-index:251750400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29" type="#_x0000_t32" style="position:absolute;left:0;text-align:left;margin-left:516.4pt;margin-top:.6pt;width:0;height:14.8pt;z-index:251762688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72" type="#_x0000_t32" style="position:absolute;left:0;text-align:left;margin-left:272.1pt;margin-top:.55pt;width:244.75pt;height:.05pt;z-index:251804672" o:connectortype="straight"/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20" type="#_x0000_t202" style="position:absolute;left:0;text-align:left;margin-left:418.15pt;margin-top:-.2pt;width:154.65pt;height:22.95pt;z-index:251753472;mso-width-relative:margin;mso-height-relative:margin">
            <v:textbox>
              <w:txbxContent>
                <w:p w:rsidR="00C656A1" w:rsidRPr="00A45388" w:rsidRDefault="00041B09" w:rsidP="00A45388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A45388">
                    <w:rPr>
                      <w:rFonts w:asciiTheme="minorEastAsia" w:hAnsiTheme="minorEastAsia" w:hint="eastAsia"/>
                      <w:szCs w:val="21"/>
                    </w:rPr>
                    <w:t>撤销原行政处罚/处理决定的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19" type="#_x0000_t202" style="position:absolute;left:0;text-align:left;margin-left:198pt;margin-top:-.2pt;width:148.75pt;height:22.95pt;z-index:251752448;mso-width-relative:margin;mso-height-relative:margin">
            <v:textbox>
              <w:txbxContent>
                <w:p w:rsidR="00C656A1" w:rsidRPr="00A45388" w:rsidRDefault="00041B09" w:rsidP="00A4538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45388">
                    <w:rPr>
                      <w:rFonts w:asciiTheme="minorEastAsia" w:hAnsiTheme="minorEastAsia" w:hint="eastAsia"/>
                      <w:szCs w:val="21"/>
                    </w:rPr>
                    <w:t>维持原行政处罚/处理决定的</w:t>
                  </w:r>
                </w:p>
              </w:txbxContent>
            </v:textbox>
          </v:shape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35" type="#_x0000_t32" style="position:absolute;left:0;text-align:left;margin-left:439.95pt;margin-top:7.15pt;width:0;height:101.8pt;z-index:251768832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27" type="#_x0000_t32" style="position:absolute;left:0;text-align:left;margin-left:272.1pt;margin-top:7.15pt;width:0;height:14.8pt;z-index:251760640" o:connectortype="straight">
            <v:stroke endarrow="block"/>
          </v:shape>
        </w:pict>
      </w:r>
    </w:p>
    <w:p w:rsidR="00E07490" w:rsidRPr="004E67EB" w:rsidRDefault="000952CB">
      <w:pPr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noProof/>
          <w:sz w:val="15"/>
          <w:szCs w:val="15"/>
        </w:rPr>
        <w:pict>
          <v:shape id="_x0000_s1176" type="#_x0000_t202" style="position:absolute;left:0;text-align:left;margin-left:428.1pt;margin-top:280.35pt;width:87pt;height:22.8pt;z-index:251808768;mso-width-relative:margin;mso-height-relative:margin" strokeweight="3pt">
            <v:textbox>
              <w:txbxContent>
                <w:p w:rsidR="00C4263F" w:rsidRPr="00D22CFF" w:rsidRDefault="005941A3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口头提示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93" type="#_x0000_t32" style="position:absolute;left:0;text-align:left;margin-left:469.9pt;margin-top:264.45pt;width:0;height:14.8pt;z-index:251826176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78" type="#_x0000_t202" style="position:absolute;left:0;text-align:left;margin-left:696.05pt;margin-top:279.7pt;width:89.65pt;height:22.8pt;z-index:251810816;mso-width-relative:margin;mso-height-relative:margin" strokeweight="3pt">
            <v:textbox>
              <w:txbxContent>
                <w:p w:rsidR="00C4263F" w:rsidRPr="00D22CFF" w:rsidRDefault="005941A3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向局长报告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77" type="#_x0000_t202" style="position:absolute;left:0;text-align:left;margin-left:558.5pt;margin-top:279.7pt;width:121.2pt;height:22.8pt;z-index:251809792;mso-width-relative:margin;mso-height-relative:margin" strokeweight="3pt">
            <v:textbox>
              <w:txbxContent>
                <w:p w:rsidR="00C4263F" w:rsidRPr="00D22CFF" w:rsidRDefault="005941A3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发送案件流程通知书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74" type="#_x0000_t202" style="position:absolute;left:0;text-align:left;margin-left:573.3pt;margin-top:241.65pt;width:80.8pt;height:22.8pt;z-index:251806720;mso-width-relative:margin;mso-height-relative:margin" strokeweight="3pt">
            <v:textbox>
              <w:txbxContent>
                <w:p w:rsidR="00C4263F" w:rsidRPr="00D22CFF" w:rsidRDefault="005941A3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情节较重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92" type="#_x0000_t32" style="position:absolute;left:0;text-align:left;margin-left:736.1pt;margin-top:264.45pt;width:0;height:14.8pt;z-index:251825152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91" type="#_x0000_t32" style="position:absolute;left:0;text-align:left;margin-left:617.15pt;margin-top:265.35pt;width:0;height:14.8pt;z-index:251824128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90" type="#_x0000_t32" style="position:absolute;left:0;text-align:left;margin-left:470.95pt;margin-top:227.75pt;width:0;height:14.8pt;z-index:251823104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73" type="#_x0000_t202" style="position:absolute;left:0;text-align:left;margin-left:429.4pt;margin-top:242.55pt;width:84.4pt;height:22.8pt;z-index:251805696;mso-width-relative:margin;mso-height-relative:margin" strokeweight="3pt">
            <v:textbox>
              <w:txbxContent>
                <w:p w:rsidR="00C4263F" w:rsidRPr="00D22CFF" w:rsidRDefault="005941A3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情节轻微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89" type="#_x0000_t32" style="position:absolute;left:0;text-align:left;margin-left:611.3pt;margin-top:212.1pt;width:0;height:14.8pt;z-index:251822080" o:connectortype="straight" strokeweight="3p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88" type="#_x0000_t32" style="position:absolute;left:0;text-align:left;margin-left:611.3pt;margin-top:227.75pt;width:0;height:14.8pt;z-index:251821056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75" type="#_x0000_t202" style="position:absolute;left:0;text-align:left;margin-left:696.05pt;margin-top:242.55pt;width:89.65pt;height:22.8pt;z-index:251807744;mso-width-relative:margin;mso-height-relative:margin" strokeweight="3pt">
            <v:textbox>
              <w:txbxContent>
                <w:p w:rsidR="00C4263F" w:rsidRPr="00D22CFF" w:rsidRDefault="005941A3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情节严重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87" type="#_x0000_t32" style="position:absolute;left:0;text-align:left;margin-left:731.65pt;margin-top:226.85pt;width:0;height:14.8pt;z-index:251820032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86" type="#_x0000_t32" style="position:absolute;left:0;text-align:left;margin-left:469.9pt;margin-top:226.85pt;width:263.05pt;height:.05pt;flip:y;z-index:251819008" o:connectortype="straight" strokecolor="black [3213]" strokeweight="3p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80" type="#_x0000_t202" style="position:absolute;left:0;text-align:left;margin-left:154.55pt;margin-top:242.55pt;width:133.95pt;height:22.8pt;z-index:251812864;mso-width-relative:margin;mso-height-relative:margin" strokeweight="3pt">
            <v:textbox>
              <w:txbxContent>
                <w:p w:rsidR="00C4263F" w:rsidRPr="00D22CFF" w:rsidRDefault="00C4263F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发送案件流程监控通知书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79" type="#_x0000_t202" style="position:absolute;left:0;text-align:left;margin-left:7.35pt;margin-top:242.55pt;width:121.2pt;height:22.8pt;z-index:251811840;mso-width-relative:margin;mso-height-relative:margin" strokeweight="3pt">
            <v:textbox>
              <w:txbxContent>
                <w:p w:rsidR="00C4263F" w:rsidRPr="00D22CFF" w:rsidRDefault="00C4263F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预警提示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83" type="#_x0000_t32" style="position:absolute;left:0;text-align:left;margin-left:85.15pt;margin-top:227.75pt;width:0;height:14.8pt;z-index:251815936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84" type="#_x0000_t32" style="position:absolute;left:0;text-align:left;margin-left:179.45pt;margin-top:227.75pt;width:0;height:14.8pt;z-index:251816960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82" type="#_x0000_t32" style="position:absolute;left:0;text-align:left;margin-left:83.8pt;margin-top:226.85pt;width:96.95pt;height:0;z-index:251814912" o:connectortype="straight" strokecolor="black [3213]" strokeweight="3p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81" type="#_x0000_t32" style="position:absolute;left:0;text-align:left;margin-left:131.95pt;margin-top:212.1pt;width:0;height:14.8pt;z-index:251813888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68" type="#_x0000_t202" style="position:absolute;left:0;text-align:left;margin-left:80.85pt;margin-top:189.3pt;width:104pt;height:22.8pt;z-index:251800576;mso-width-relative:margin;mso-height-relative:margin" strokeweight="3pt">
            <v:textbox>
              <w:txbxContent>
                <w:p w:rsidR="002B59BD" w:rsidRPr="00D22CFF" w:rsidRDefault="007B50C4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办案期限预警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70" type="#_x0000_t32" style="position:absolute;left:0;text-align:left;margin-left:611.3pt;margin-top:174.5pt;width:0;height:14.8pt;z-index:251802624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69" type="#_x0000_t32" style="position:absolute;left:0;text-align:left;margin-left:133.25pt;margin-top:174.5pt;width:0;height:14.8pt;z-index:251801600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71" type="#_x0000_t202" style="position:absolute;left:0;text-align:left;margin-left:551.45pt;margin-top:189.3pt;width:121.2pt;height:22.8pt;z-index:251803648;mso-width-relative:margin;mso-height-relative:margin" strokeweight="3pt">
            <v:textbox>
              <w:txbxContent>
                <w:p w:rsidR="007B50C4" w:rsidRPr="00D22CFF" w:rsidRDefault="007B50C4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办案流程监控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28" type="#_x0000_t32" style="position:absolute;left:0;text-align:left;margin-left:131.95pt;margin-top:174.45pt;width:480.7pt;height:.05pt;z-index:251761664" o:connectortype="straight" strokecolor="black [3213]" strokeweight="3p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33" type="#_x0000_t32" style="position:absolute;left:0;text-align:left;margin-left:364.3pt;margin-top:159.65pt;width:0;height:14.8pt;z-index:251766784" o:connectortype="straight" strokeweight="3p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67" type="#_x0000_t32" style="position:absolute;left:0;text-align:left;margin-left:5.8pt;margin-top:159.65pt;width:761.1pt;height:0;z-index:251799552" o:connectortype="straight" strokeweight="3p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25" type="#_x0000_t202" style="position:absolute;left:0;text-align:left;margin-left:288.5pt;margin-top:131.45pt;width:62.6pt;height:19.05pt;z-index:251758592;mso-width-relative:margin;mso-height-relative:margin">
            <v:textbox>
              <w:txbxContent>
                <w:p w:rsidR="00C656A1" w:rsidRPr="00D22CFF" w:rsidRDefault="009955D0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22CFF">
                    <w:rPr>
                      <w:rFonts w:asciiTheme="minorEastAsia" w:hAnsiTheme="minorEastAsia" w:hint="eastAsia"/>
                      <w:szCs w:val="21"/>
                    </w:rPr>
                    <w:t>归档入库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40" type="#_x0000_t32" style="position:absolute;left:0;text-align:left;margin-left:103.75pt;margin-top:139.7pt;width:184.75pt;height:0;z-index:251773952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39" type="#_x0000_t32" style="position:absolute;left:0;text-align:left;margin-left:103.7pt;margin-top:127.2pt;width:.05pt;height:12.5pt;z-index:251772928" o:connectortype="straight"/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37" type="#_x0000_t32" style="position:absolute;left:0;text-align:left;margin-left:461pt;margin-top:112.45pt;width:151.6pt;height:.05pt;flip:x;z-index:251770880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23" type="#_x0000_t202" style="position:absolute;left:0;text-align:left;margin-left:51.1pt;margin-top:95.3pt;width:113pt;height:31.9pt;z-index:251756544;mso-width-relative:margin;mso-height-relative:margin">
            <v:textbox>
              <w:txbxContent>
                <w:p w:rsidR="00C656A1" w:rsidRPr="00D22CFF" w:rsidRDefault="009955D0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22CFF">
                    <w:rPr>
                      <w:rFonts w:asciiTheme="minorEastAsia" w:hAnsiTheme="minorEastAsia" w:hint="eastAsia"/>
                      <w:szCs w:val="21"/>
                    </w:rPr>
                    <w:t>结案</w:t>
                  </w:r>
                </w:p>
                <w:p w:rsidR="00C656A1" w:rsidRPr="00D22CFF" w:rsidRDefault="009955D0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22CFF">
                    <w:rPr>
                      <w:rFonts w:asciiTheme="minorEastAsia" w:hAnsiTheme="minorEastAsia" w:hint="eastAsia"/>
                      <w:szCs w:val="21"/>
                    </w:rPr>
                    <w:t>填写《撤案审批表》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24" type="#_x0000_t202" style="position:absolute;left:0;text-align:left;margin-left:186.1pt;margin-top:93.4pt;width:274.9pt;height:33.8pt;z-index:251757568;mso-width-relative:margin;mso-height-relative:margin">
            <v:textbox>
              <w:txbxContent>
                <w:p w:rsidR="00C656A1" w:rsidRPr="00D22CFF" w:rsidRDefault="009955D0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22CFF">
                    <w:rPr>
                      <w:rFonts w:asciiTheme="minorEastAsia" w:hAnsiTheme="minorEastAsia" w:hint="eastAsia"/>
                      <w:szCs w:val="21"/>
                    </w:rPr>
                    <w:t>结案</w:t>
                  </w:r>
                </w:p>
                <w:p w:rsidR="00C656A1" w:rsidRPr="00D22CFF" w:rsidRDefault="009955D0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22CFF">
                    <w:rPr>
                      <w:rFonts w:asciiTheme="minorEastAsia" w:hAnsiTheme="minorEastAsia" w:hint="eastAsia"/>
                      <w:szCs w:val="21"/>
                    </w:rPr>
                    <w:t>填写《结案审批表》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32" type="#_x0000_t32" style="position:absolute;left:0;text-align:left;margin-left:197.7pt;margin-top:78.6pt;width:0;height:14.8pt;z-index:251765760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34" type="#_x0000_t32" style="position:absolute;left:0;text-align:left;margin-left:339.15pt;margin-top:42.65pt;width:0;height:50.7pt;z-index:251767808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22" type="#_x0000_t202" style="position:absolute;left:0;text-align:left;margin-left:142.7pt;margin-top:56.85pt;width:106pt;height:21.75pt;z-index:251755520;mso-width-relative:margin;mso-height-relative:margin">
            <v:textbox>
              <w:txbxContent>
                <w:p w:rsidR="00C656A1" w:rsidRPr="00D22CFF" w:rsidRDefault="009955D0" w:rsidP="00D22CFF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22CFF">
                    <w:rPr>
                      <w:rFonts w:asciiTheme="minorEastAsia" w:hAnsiTheme="minorEastAsia" w:hint="eastAsia"/>
                      <w:szCs w:val="21"/>
                    </w:rPr>
                    <w:t>申请法院强制执行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31" type="#_x0000_t32" style="position:absolute;left:0;text-align:left;margin-left:198.35pt;margin-top:42.05pt;width:0;height:14.8pt;z-index:251764736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21" type="#_x0000_t202" style="position:absolute;left:0;text-align:left;margin-left:290.4pt;margin-top:21.15pt;width:90.75pt;height:20.9pt;z-index:251754496;mso-width-relative:margin;mso-height-relative:margin">
            <v:textbox>
              <w:txbxContent>
                <w:p w:rsidR="00C656A1" w:rsidRPr="00A45388" w:rsidRDefault="009955D0" w:rsidP="00A4538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45388">
                    <w:rPr>
                      <w:rFonts w:asciiTheme="minorEastAsia" w:hAnsiTheme="minorEastAsia" w:hint="eastAsia"/>
                      <w:szCs w:val="21"/>
                    </w:rPr>
                    <w:t>当事人自觉履行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26" type="#_x0000_t202" style="position:absolute;left:0;text-align:left;margin-left:146.2pt;margin-top:21.15pt;width:102.5pt;height:20.9pt;z-index:251759616;mso-width-relative:margin;mso-height-relative:margin">
            <v:textbox>
              <w:txbxContent>
                <w:p w:rsidR="00C656A1" w:rsidRPr="00A45388" w:rsidRDefault="009955D0" w:rsidP="00A4538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45388">
                    <w:rPr>
                      <w:rFonts w:asciiTheme="minorEastAsia" w:hAnsiTheme="minorEastAsia" w:hint="eastAsia"/>
                      <w:szCs w:val="21"/>
                    </w:rPr>
                    <w:t>当事人拒不履行的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30" type="#_x0000_t32" style="position:absolute;left:0;text-align:left;margin-left:198.35pt;margin-top:6.35pt;width:0;height:14.8pt;z-index:251763712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16" type="#_x0000_t32" style="position:absolute;left:0;text-align:left;margin-left:348.7pt;margin-top:6.35pt;width:0;height:14.8pt;z-index:251751424" o:connectortype="straight">
            <v:stroke endarrow="block"/>
          </v:shape>
        </w:pict>
      </w:r>
      <w:r>
        <w:rPr>
          <w:rFonts w:asciiTheme="minorEastAsia" w:hAnsiTheme="minorEastAsia"/>
          <w:noProof/>
          <w:sz w:val="15"/>
          <w:szCs w:val="15"/>
        </w:rPr>
        <w:pict>
          <v:shape id="_x0000_s1114" type="#_x0000_t32" style="position:absolute;left:0;text-align:left;margin-left:198pt;margin-top:6.35pt;width:150.25pt;height:0;z-index:251749376" o:connectortype="straight"/>
        </w:pict>
      </w:r>
    </w:p>
    <w:sectPr w:rsidR="00E07490" w:rsidRPr="004E67EB" w:rsidSect="002B59BD">
      <w:pgSz w:w="16840" w:h="23814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AB1" w:rsidRDefault="00547AB1" w:rsidP="00B636BF">
      <w:r>
        <w:separator/>
      </w:r>
    </w:p>
  </w:endnote>
  <w:endnote w:type="continuationSeparator" w:id="1">
    <w:p w:rsidR="00547AB1" w:rsidRDefault="00547AB1" w:rsidP="00B6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AB1" w:rsidRDefault="00547AB1" w:rsidP="00B636BF">
      <w:r>
        <w:separator/>
      </w:r>
    </w:p>
  </w:footnote>
  <w:footnote w:type="continuationSeparator" w:id="1">
    <w:p w:rsidR="00547AB1" w:rsidRDefault="00547AB1" w:rsidP="00B63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5AA"/>
    <w:multiLevelType w:val="hybridMultilevel"/>
    <w:tmpl w:val="1AB84E5A"/>
    <w:lvl w:ilvl="0" w:tplc="3EE2F0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EA01B4"/>
    <w:multiLevelType w:val="hybridMultilevel"/>
    <w:tmpl w:val="64987CD8"/>
    <w:lvl w:ilvl="0" w:tplc="60C4B11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FA03C0"/>
    <w:multiLevelType w:val="hybridMultilevel"/>
    <w:tmpl w:val="9154B61A"/>
    <w:lvl w:ilvl="0" w:tplc="E84403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490"/>
    <w:rsid w:val="00041B09"/>
    <w:rsid w:val="000952CB"/>
    <w:rsid w:val="001125D6"/>
    <w:rsid w:val="001304CF"/>
    <w:rsid w:val="0028583F"/>
    <w:rsid w:val="002971C0"/>
    <w:rsid w:val="002B59BD"/>
    <w:rsid w:val="003446A1"/>
    <w:rsid w:val="00455AED"/>
    <w:rsid w:val="00492F5E"/>
    <w:rsid w:val="004E67EB"/>
    <w:rsid w:val="005113BD"/>
    <w:rsid w:val="00533842"/>
    <w:rsid w:val="00547AB1"/>
    <w:rsid w:val="005941A3"/>
    <w:rsid w:val="00596596"/>
    <w:rsid w:val="005F0B0A"/>
    <w:rsid w:val="00646626"/>
    <w:rsid w:val="0065257B"/>
    <w:rsid w:val="006917B9"/>
    <w:rsid w:val="006D4B1F"/>
    <w:rsid w:val="007125CC"/>
    <w:rsid w:val="00744152"/>
    <w:rsid w:val="00772703"/>
    <w:rsid w:val="007A37A2"/>
    <w:rsid w:val="007B50C4"/>
    <w:rsid w:val="008025C4"/>
    <w:rsid w:val="008E43BC"/>
    <w:rsid w:val="009228AC"/>
    <w:rsid w:val="009955D0"/>
    <w:rsid w:val="00A45388"/>
    <w:rsid w:val="00A753EF"/>
    <w:rsid w:val="00A91247"/>
    <w:rsid w:val="00AB04A7"/>
    <w:rsid w:val="00AC539E"/>
    <w:rsid w:val="00B636BF"/>
    <w:rsid w:val="00B6606B"/>
    <w:rsid w:val="00BF771A"/>
    <w:rsid w:val="00C4263F"/>
    <w:rsid w:val="00C656A1"/>
    <w:rsid w:val="00CC637E"/>
    <w:rsid w:val="00D22CFF"/>
    <w:rsid w:val="00D3736A"/>
    <w:rsid w:val="00DB2290"/>
    <w:rsid w:val="00DD1A7D"/>
    <w:rsid w:val="00DF2C6A"/>
    <w:rsid w:val="00E07490"/>
    <w:rsid w:val="00E62490"/>
    <w:rsid w:val="00F772D3"/>
    <w:rsid w:val="00FB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76" type="connector" idref="#_x0000_s1066"/>
        <o:r id="V:Rule77" type="connector" idref="#_x0000_s1058"/>
        <o:r id="V:Rule78" type="connector" idref="#_x0000_s1064"/>
        <o:r id="V:Rule79" type="connector" idref="#_x0000_s1137"/>
        <o:r id="V:Rule80" type="connector" idref="#_x0000_s1092"/>
        <o:r id="V:Rule81" type="connector" idref="#_x0000_s1169"/>
        <o:r id="V:Rule82" type="connector" idref="#_x0000_s1139"/>
        <o:r id="V:Rule83" type="connector" idref="#_x0000_s1097"/>
        <o:r id="V:Rule84" type="connector" idref="#_x0000_s1109"/>
        <o:r id="V:Rule85" type="connector" idref="#_x0000_s1110"/>
        <o:r id="V:Rule86" type="connector" idref="#_x0000_s1127"/>
        <o:r id="V:Rule87" type="connector" idref="#_x0000_s1094"/>
        <o:r id="V:Rule88" type="connector" idref="#_x0000_s1188"/>
        <o:r id="V:Rule89" type="connector" idref="#_x0000_s1191"/>
        <o:r id="V:Rule90" type="connector" idref="#_x0000_s1061"/>
        <o:r id="V:Rule91" type="connector" idref="#_x0000_s1088"/>
        <o:r id="V:Rule92" type="connector" idref="#_x0000_s1151"/>
        <o:r id="V:Rule93" type="connector" idref="#_x0000_s1170"/>
        <o:r id="V:Rule94" type="connector" idref="#_x0000_s1182"/>
        <o:r id="V:Rule95" type="connector" idref="#_x0000_s1145"/>
        <o:r id="V:Rule96" type="connector" idref="#_x0000_s1128"/>
        <o:r id="V:Rule97" type="connector" idref="#_x0000_s1090"/>
        <o:r id="V:Rule98" type="connector" idref="#_x0000_s1091"/>
        <o:r id="V:Rule99" type="connector" idref="#_x0000_s1146"/>
        <o:r id="V:Rule100" type="connector" idref="#_x0000_s1116"/>
        <o:r id="V:Rule101" type="connector" idref="#_x0000_s1114"/>
        <o:r id="V:Rule102" type="connector" idref="#_x0000_s1165"/>
        <o:r id="V:Rule103" type="connector" idref="#_x0000_s1130"/>
        <o:r id="V:Rule104" type="connector" idref="#_x0000_s1183"/>
        <o:r id="V:Rule105" type="connector" idref="#_x0000_s1105"/>
        <o:r id="V:Rule106" type="connector" idref="#_x0000_s1131"/>
        <o:r id="V:Rule107" type="connector" idref="#_x0000_s1129"/>
        <o:r id="V:Rule108" type="connector" idref="#_x0000_s1086"/>
        <o:r id="V:Rule109" type="connector" idref="#_x0000_s1113"/>
        <o:r id="V:Rule110" type="connector" idref="#_x0000_s1134"/>
        <o:r id="V:Rule111" type="connector" idref="#_x0000_s1159"/>
        <o:r id="V:Rule112" type="connector" idref="#_x0000_s1098"/>
        <o:r id="V:Rule113" type="connector" idref="#_x0000_s1062"/>
        <o:r id="V:Rule114" type="connector" idref="#_x0000_s1187"/>
        <o:r id="V:Rule115" type="connector" idref="#_x0000_s1197"/>
        <o:r id="V:Rule116" type="connector" idref="#_x0000_s1099"/>
        <o:r id="V:Rule117" type="connector" idref="#_x0000_s1196"/>
        <o:r id="V:Rule118" type="connector" idref="#_x0000_s1192"/>
        <o:r id="V:Rule119" type="connector" idref="#_x0000_s1100"/>
        <o:r id="V:Rule120" type="connector" idref="#_x0000_s1190"/>
        <o:r id="V:Rule121" type="connector" idref="#_x0000_s1107"/>
        <o:r id="V:Rule122" type="connector" idref="#_x0000_s1059"/>
        <o:r id="V:Rule123" type="connector" idref="#_x0000_s1140"/>
        <o:r id="V:Rule124" type="connector" idref="#_x0000_s1096"/>
        <o:r id="V:Rule125" type="connector" idref="#_x0000_s1167"/>
        <o:r id="V:Rule126" type="connector" idref="#_x0000_s1093"/>
        <o:r id="V:Rule127" type="connector" idref="#_x0000_s1195"/>
        <o:r id="V:Rule128" type="connector" idref="#_x0000_s1136"/>
        <o:r id="V:Rule129" type="connector" idref="#_x0000_s1162"/>
        <o:r id="V:Rule130" type="connector" idref="#_x0000_s1184"/>
        <o:r id="V:Rule131" type="connector" idref="#_x0000_s1198"/>
        <o:r id="V:Rule132" type="connector" idref="#_x0000_s1104"/>
        <o:r id="V:Rule133" type="connector" idref="#_x0000_s1095"/>
        <o:r id="V:Rule134" type="connector" idref="#_x0000_s1166"/>
        <o:r id="V:Rule135" type="connector" idref="#_x0000_s1108"/>
        <o:r id="V:Rule136" type="connector" idref="#_x0000_s1189"/>
        <o:r id="V:Rule137" type="connector" idref="#_x0000_s1115"/>
        <o:r id="V:Rule138" type="connector" idref="#_x0000_s1132"/>
        <o:r id="V:Rule139" type="connector" idref="#_x0000_s1193"/>
        <o:r id="V:Rule140" type="connector" idref="#_x0000_s1186"/>
        <o:r id="V:Rule141" type="connector" idref="#_x0000_s1087"/>
        <o:r id="V:Rule142" type="connector" idref="#_x0000_s1199"/>
        <o:r id="V:Rule143" type="connector" idref="#_x0000_s1172"/>
        <o:r id="V:Rule144" type="connector" idref="#_x0000_s1133"/>
        <o:r id="V:Rule145" type="connector" idref="#_x0000_s1135"/>
        <o:r id="V:Rule146" type="connector" idref="#_x0000_s1181"/>
        <o:r id="V:Rule147" type="connector" idref="#_x0000_s1163"/>
        <o:r id="V:Rule148" type="connector" idref="#_x0000_s1138"/>
        <o:r id="V:Rule149" type="connector" idref="#_x0000_s1102"/>
        <o:r id="V:Rule150" type="connector" idref="#_x0000_s10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56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56A1"/>
    <w:rPr>
      <w:sz w:val="18"/>
      <w:szCs w:val="18"/>
    </w:rPr>
  </w:style>
  <w:style w:type="paragraph" w:styleId="a4">
    <w:name w:val="List Paragraph"/>
    <w:basedOn w:val="a"/>
    <w:uiPriority w:val="34"/>
    <w:qFormat/>
    <w:rsid w:val="00C656A1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B63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6B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6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2019-10-07T09:59:00Z</cp:lastPrinted>
  <dcterms:created xsi:type="dcterms:W3CDTF">2019-10-07T10:01:00Z</dcterms:created>
  <dcterms:modified xsi:type="dcterms:W3CDTF">2019-10-07T10:01:00Z</dcterms:modified>
</cp:coreProperties>
</file>