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90" w:lineRule="exact"/>
        <w:ind w:left="0" w:leftChars="0" w:right="0" w:rightChars="0"/>
        <w:jc w:val="both"/>
        <w:textAlignment w:val="auto"/>
        <w:outlineLvl w:val="9"/>
        <w:rPr>
          <w:rFonts w:hint="default" w:ascii="Times New Roman" w:hAnsi="Times New Roman" w:eastAsia="方正小标宋简体" w:cs="Times New Roman"/>
          <w:b w:val="0"/>
          <w:bCs/>
          <w:i w:val="0"/>
          <w:caps w:val="0"/>
          <w:color w:val="191919"/>
          <w:spacing w:val="0"/>
          <w:sz w:val="44"/>
          <w:szCs w:val="42"/>
          <w:shd w:val="clear" w:color="auto" w:fill="FFFFFF"/>
          <w:lang w:val="en-US" w:eastAsia="zh-CN"/>
        </w:rPr>
      </w:pPr>
    </w:p>
    <w:p>
      <w:pPr>
        <w:pStyle w:val="10"/>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90" w:lineRule="exact"/>
        <w:textAlignment w:val="auto"/>
        <w:rPr>
          <w:rStyle w:val="14"/>
          <w:rFonts w:hint="default" w:ascii="Times New Roman" w:hAnsi="Times New Roman" w:eastAsia="黑体" w:cs="Times New Roman"/>
          <w:b w:val="0"/>
          <w:color w:val="000000"/>
          <w:sz w:val="44"/>
          <w:szCs w:val="44"/>
        </w:rPr>
      </w:pPr>
    </w:p>
    <w:p>
      <w:pPr>
        <w:pStyle w:val="10"/>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90" w:lineRule="exact"/>
        <w:ind w:left="2640" w:leftChars="0" w:hanging="2640" w:hangingChars="600"/>
        <w:jc w:val="center"/>
        <w:textAlignment w:val="auto"/>
        <w:rPr>
          <w:rStyle w:val="14"/>
          <w:rFonts w:hint="default" w:ascii="Times New Roman" w:hAnsi="Times New Roman" w:eastAsia="方正小标宋_GBK" w:cs="Times New Roman"/>
          <w:b w:val="0"/>
          <w:kern w:val="2"/>
          <w:sz w:val="44"/>
          <w:szCs w:val="44"/>
          <w:shd w:val="clear" w:color="auto" w:fill="FFFFFF"/>
          <w:lang w:val="en-US" w:eastAsia="zh-CN" w:bidi="ar-SA"/>
        </w:rPr>
      </w:pPr>
      <w:r>
        <w:rPr>
          <w:rStyle w:val="14"/>
          <w:rFonts w:hint="default" w:ascii="Times New Roman" w:hAnsi="Times New Roman" w:eastAsia="方正小标宋_GBK" w:cs="Times New Roman"/>
          <w:b w:val="0"/>
          <w:kern w:val="2"/>
          <w:sz w:val="44"/>
          <w:szCs w:val="44"/>
          <w:shd w:val="clear" w:color="auto" w:fill="FFFFFF"/>
          <w:lang w:val="en-US" w:eastAsia="zh-CN" w:bidi="ar-SA"/>
        </w:rPr>
        <w:t>关于印发潘集区工程项目招标采购</w:t>
      </w:r>
    </w:p>
    <w:p>
      <w:pPr>
        <w:pStyle w:val="10"/>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90" w:lineRule="exact"/>
        <w:ind w:left="2640" w:leftChars="0" w:hanging="2640" w:hangingChars="600"/>
        <w:jc w:val="center"/>
        <w:textAlignment w:val="auto"/>
        <w:rPr>
          <w:rStyle w:val="14"/>
          <w:rFonts w:hint="default" w:ascii="Times New Roman" w:hAnsi="Times New Roman" w:eastAsia="方正小标宋_GBK" w:cs="Times New Roman"/>
          <w:b w:val="0"/>
          <w:kern w:val="2"/>
          <w:sz w:val="44"/>
          <w:szCs w:val="44"/>
          <w:shd w:val="clear" w:color="auto" w:fill="FFFFFF"/>
          <w:lang w:val="en-US" w:eastAsia="zh-CN" w:bidi="ar-SA"/>
        </w:rPr>
      </w:pPr>
      <w:r>
        <w:rPr>
          <w:rStyle w:val="14"/>
          <w:rFonts w:hint="default" w:ascii="Times New Roman" w:hAnsi="Times New Roman" w:eastAsia="方正小标宋_GBK" w:cs="Times New Roman"/>
          <w:b w:val="0"/>
          <w:kern w:val="2"/>
          <w:sz w:val="44"/>
          <w:szCs w:val="44"/>
          <w:shd w:val="clear" w:color="auto" w:fill="FFFFFF"/>
          <w:lang w:val="en-US" w:eastAsia="zh-CN" w:bidi="ar-SA"/>
        </w:rPr>
        <w:t>指导意见的通知</w:t>
      </w:r>
    </w:p>
    <w:p>
      <w:pPr>
        <w:pStyle w:val="10"/>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90" w:lineRule="exact"/>
        <w:ind w:left="1920" w:leftChars="0" w:hanging="1920" w:hangingChars="600"/>
        <w:jc w:val="center"/>
        <w:textAlignment w:val="auto"/>
        <w:rPr>
          <w:rStyle w:val="14"/>
          <w:rFonts w:hint="default" w:ascii="Times New Roman" w:hAnsi="Times New Roman" w:eastAsia="仿宋_GB2312" w:cs="Times New Roman"/>
          <w:b w:val="0"/>
          <w:color w:val="000000"/>
          <w:sz w:val="32"/>
          <w:szCs w:val="32"/>
        </w:rPr>
      </w:pPr>
      <w:r>
        <w:rPr>
          <w:rStyle w:val="14"/>
          <w:rFonts w:hint="default" w:ascii="Times New Roman" w:hAnsi="Times New Roman" w:eastAsia="仿宋_GB2312" w:cs="Times New Roman"/>
          <w:b w:val="0"/>
          <w:color w:val="000000"/>
          <w:sz w:val="32"/>
          <w:szCs w:val="32"/>
        </w:rPr>
        <w:t>潘府秘〔2018〕74号</w:t>
      </w:r>
    </w:p>
    <w:p>
      <w:pPr>
        <w:pStyle w:val="10"/>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90" w:lineRule="exact"/>
        <w:ind w:left="0" w:leftChars="0"/>
        <w:textAlignment w:val="auto"/>
        <w:rPr>
          <w:rStyle w:val="14"/>
          <w:rFonts w:hint="default" w:ascii="Times New Roman" w:hAnsi="Times New Roman" w:eastAsia="仿宋_GB2312" w:cs="Times New Roman"/>
          <w:b w:val="0"/>
          <w:color w:val="000000"/>
          <w:sz w:val="32"/>
          <w:szCs w:val="32"/>
        </w:rPr>
      </w:pPr>
      <w:bookmarkStart w:id="0" w:name="_GoBack"/>
      <w:bookmarkEnd w:id="0"/>
    </w:p>
    <w:p>
      <w:pPr>
        <w:pStyle w:val="10"/>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90" w:lineRule="exact"/>
        <w:ind w:left="0" w:leftChars="0"/>
        <w:textAlignment w:val="auto"/>
        <w:rPr>
          <w:rStyle w:val="14"/>
          <w:rFonts w:hint="default" w:ascii="Times New Roman" w:hAnsi="Times New Roman" w:eastAsia="黑体" w:cs="Times New Roman"/>
          <w:b w:val="0"/>
          <w:color w:val="000000"/>
          <w:sz w:val="32"/>
          <w:szCs w:val="32"/>
        </w:rPr>
      </w:pPr>
      <w:r>
        <w:rPr>
          <w:rStyle w:val="14"/>
          <w:rFonts w:hint="default" w:ascii="Times New Roman" w:hAnsi="Times New Roman" w:eastAsia="仿宋_GB2312" w:cs="Times New Roman"/>
          <w:b w:val="0"/>
          <w:color w:val="000000"/>
          <w:sz w:val="32"/>
          <w:szCs w:val="32"/>
        </w:rPr>
        <w:t>各乡镇人民政府、田集街道办，区政府各部门、各有关单位：</w:t>
      </w:r>
    </w:p>
    <w:p>
      <w:pPr>
        <w:pStyle w:val="10"/>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90" w:lineRule="exact"/>
        <w:ind w:left="0" w:leftChars="0" w:firstLine="645"/>
        <w:jc w:val="both"/>
        <w:textAlignment w:val="auto"/>
        <w:rPr>
          <w:rFonts w:hint="default" w:ascii="Times New Roman" w:hAnsi="Times New Roman" w:eastAsia="仿宋_GB2312" w:cs="Times New Roman"/>
          <w:color w:val="000000"/>
          <w:sz w:val="32"/>
          <w:szCs w:val="32"/>
        </w:rPr>
      </w:pPr>
      <w:r>
        <w:rPr>
          <w:rStyle w:val="14"/>
          <w:rFonts w:hint="default" w:ascii="Times New Roman" w:hAnsi="Times New Roman" w:eastAsia="黑体" w:cs="Times New Roman"/>
          <w:b w:val="0"/>
          <w:color w:val="000000"/>
          <w:sz w:val="32"/>
          <w:szCs w:val="32"/>
        </w:rPr>
        <w:t>《</w:t>
      </w:r>
      <w:r>
        <w:rPr>
          <w:rStyle w:val="14"/>
          <w:rFonts w:hint="default" w:ascii="Times New Roman" w:hAnsi="Times New Roman" w:eastAsia="仿宋_GB2312" w:cs="Times New Roman"/>
          <w:b w:val="0"/>
          <w:color w:val="000000"/>
          <w:sz w:val="32"/>
          <w:szCs w:val="32"/>
        </w:rPr>
        <w:t>潘集区工程项目招标采购指导意见》</w:t>
      </w:r>
      <w:r>
        <w:rPr>
          <w:rFonts w:hint="default" w:ascii="Times New Roman" w:hAnsi="Times New Roman" w:eastAsia="仿宋_GB2312" w:cs="Times New Roman"/>
          <w:color w:val="000000"/>
          <w:sz w:val="32"/>
          <w:szCs w:val="32"/>
        </w:rPr>
        <w:t>已经区十届人民政府第52次常务会议研究同意，现印发给你们，请遵照执行。</w:t>
      </w:r>
    </w:p>
    <w:p>
      <w:pPr>
        <w:pStyle w:val="10"/>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90" w:lineRule="exact"/>
        <w:ind w:left="0" w:leftChars="0" w:firstLine="4800" w:firstLineChars="1500"/>
        <w:jc w:val="both"/>
        <w:textAlignment w:val="auto"/>
        <w:rPr>
          <w:rFonts w:hint="default" w:ascii="Times New Roman" w:hAnsi="Times New Roman" w:eastAsia="仿宋_GB2312" w:cs="Times New Roman"/>
          <w:color w:val="000000"/>
          <w:sz w:val="32"/>
          <w:szCs w:val="32"/>
        </w:rPr>
      </w:pPr>
    </w:p>
    <w:p>
      <w:pPr>
        <w:pStyle w:val="10"/>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90" w:lineRule="exact"/>
        <w:ind w:left="0" w:leftChars="0" w:firstLine="4800" w:firstLineChars="1500"/>
        <w:jc w:val="both"/>
        <w:textAlignment w:val="auto"/>
        <w:rPr>
          <w:rFonts w:hint="default" w:ascii="Times New Roman" w:hAnsi="Times New Roman" w:eastAsia="仿宋_GB2312" w:cs="Times New Roman"/>
          <w:color w:val="000000"/>
          <w:sz w:val="32"/>
          <w:szCs w:val="32"/>
        </w:rPr>
      </w:pPr>
    </w:p>
    <w:p>
      <w:pPr>
        <w:pStyle w:val="10"/>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90" w:lineRule="exact"/>
        <w:ind w:left="0" w:leftChars="0" w:right="420" w:rightChars="200" w:firstLine="0" w:firstLineChars="0"/>
        <w:jc w:val="right"/>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2018年12月5日</w:t>
      </w:r>
    </w:p>
    <w:p>
      <w:pPr>
        <w:pStyle w:val="10"/>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90" w:lineRule="exact"/>
        <w:ind w:left="0" w:leftChars="0" w:firstLine="160" w:firstLineChars="50"/>
        <w:textAlignment w:val="auto"/>
        <w:rPr>
          <w:rFonts w:hint="default" w:ascii="Times New Roman" w:hAnsi="Times New Roman" w:eastAsia="仿宋_GB2312" w:cs="Times New Roman"/>
          <w:color w:val="000000"/>
          <w:sz w:val="32"/>
          <w:szCs w:val="32"/>
        </w:rPr>
      </w:pPr>
    </w:p>
    <w:p>
      <w:pPr>
        <w:pStyle w:val="10"/>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90" w:lineRule="exact"/>
        <w:ind w:left="0" w:leftChars="0" w:firstLine="160" w:firstLineChars="50"/>
        <w:textAlignment w:val="auto"/>
        <w:rPr>
          <w:rFonts w:hint="default" w:ascii="Times New Roman" w:hAnsi="Times New Roman" w:eastAsia="仿宋_GB2312" w:cs="Times New Roman"/>
          <w:color w:val="000000"/>
          <w:sz w:val="32"/>
          <w:szCs w:val="32"/>
        </w:rPr>
      </w:pPr>
    </w:p>
    <w:p>
      <w:pPr>
        <w:pStyle w:val="10"/>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90" w:lineRule="exact"/>
        <w:ind w:left="0" w:leftChars="0"/>
        <w:textAlignment w:val="auto"/>
        <w:rPr>
          <w:rFonts w:hint="default" w:ascii="Times New Roman" w:hAnsi="Times New Roman" w:eastAsia="仿宋_GB2312" w:cs="Times New Roman"/>
          <w:color w:val="000000"/>
          <w:sz w:val="32"/>
          <w:szCs w:val="32"/>
        </w:rPr>
      </w:pPr>
    </w:p>
    <w:p>
      <w:pPr>
        <w:pStyle w:val="10"/>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90" w:lineRule="exact"/>
        <w:ind w:left="0" w:leftChars="0" w:firstLine="160" w:firstLineChars="50"/>
        <w:textAlignment w:val="auto"/>
        <w:rPr>
          <w:rFonts w:hint="default" w:ascii="Times New Roman" w:hAnsi="Times New Roman" w:eastAsia="仿宋_GB2312" w:cs="Times New Roman"/>
          <w:color w:val="000000"/>
          <w:sz w:val="32"/>
          <w:szCs w:val="32"/>
        </w:rPr>
      </w:pPr>
    </w:p>
    <w:p>
      <w:pPr>
        <w:pStyle w:val="10"/>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90" w:lineRule="exact"/>
        <w:ind w:left="0" w:leftChars="0" w:firstLine="160" w:firstLineChars="50"/>
        <w:textAlignment w:val="auto"/>
        <w:rPr>
          <w:rFonts w:hint="default" w:ascii="Times New Roman" w:hAnsi="Times New Roman" w:eastAsia="仿宋_GB2312" w:cs="Times New Roman"/>
          <w:color w:val="000000"/>
          <w:sz w:val="32"/>
          <w:szCs w:val="32"/>
        </w:rPr>
      </w:pPr>
    </w:p>
    <w:p>
      <w:pPr>
        <w:pStyle w:val="10"/>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90" w:lineRule="exact"/>
        <w:ind w:left="0" w:leftChars="0"/>
        <w:jc w:val="center"/>
        <w:textAlignment w:val="auto"/>
        <w:rPr>
          <w:rStyle w:val="14"/>
          <w:rFonts w:hint="default" w:ascii="Times New Roman" w:hAnsi="Times New Roman" w:eastAsia="方正大标宋_GBK" w:cs="Times New Roman"/>
          <w:b w:val="0"/>
          <w:color w:val="000000"/>
          <w:sz w:val="44"/>
          <w:szCs w:val="44"/>
        </w:rPr>
      </w:pPr>
    </w:p>
    <w:p>
      <w:pPr>
        <w:pStyle w:val="10"/>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90" w:lineRule="exact"/>
        <w:ind w:left="0" w:leftChars="0"/>
        <w:jc w:val="center"/>
        <w:textAlignment w:val="auto"/>
        <w:rPr>
          <w:rStyle w:val="14"/>
          <w:rFonts w:hint="default" w:ascii="Times New Roman" w:hAnsi="Times New Roman" w:eastAsia="方正大标宋_GBK" w:cs="Times New Roman"/>
          <w:b w:val="0"/>
          <w:color w:val="000000"/>
          <w:sz w:val="44"/>
          <w:szCs w:val="44"/>
        </w:rPr>
      </w:pPr>
    </w:p>
    <w:p>
      <w:pPr>
        <w:pStyle w:val="2"/>
        <w:keepNext w:val="0"/>
        <w:keepLines w:val="0"/>
        <w:pageBreakBefore w:val="0"/>
        <w:widowControl w:val="0"/>
        <w:kinsoku/>
        <w:wordWrap/>
        <w:overflowPunct/>
        <w:topLinePunct w:val="0"/>
        <w:autoSpaceDE/>
        <w:autoSpaceDN/>
        <w:bidi w:val="0"/>
        <w:adjustRightInd/>
        <w:snapToGrid/>
        <w:spacing w:line="590" w:lineRule="exact"/>
        <w:ind w:left="0" w:leftChars="0" w:firstLine="0" w:firstLineChars="0"/>
        <w:textAlignment w:val="auto"/>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590" w:lineRule="exact"/>
        <w:ind w:left="0" w:leftChars="0"/>
        <w:textAlignment w:val="auto"/>
        <w:rPr>
          <w:rFonts w:hint="default" w:ascii="Times New Roman" w:hAnsi="Times New Roman" w:eastAsia="方正仿宋_GBK" w:cs="Times New Roman"/>
          <w:b w:val="0"/>
          <w:bCs w:val="0"/>
          <w:kern w:val="0"/>
          <w:sz w:val="32"/>
          <w:szCs w:val="32"/>
          <w:shd w:val="clear" w:color="auto" w:fill="FFFFFF"/>
          <w:lang w:val="en-US" w:eastAsia="zh-CN" w:bidi="ar-SA"/>
        </w:rPr>
      </w:pPr>
    </w:p>
    <w:p>
      <w:pPr>
        <w:pStyle w:val="10"/>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90" w:lineRule="exact"/>
        <w:ind w:left="0" w:leftChars="0"/>
        <w:jc w:val="center"/>
        <w:textAlignment w:val="auto"/>
        <w:rPr>
          <w:rStyle w:val="14"/>
          <w:rFonts w:hint="default" w:ascii="Times New Roman" w:hAnsi="Times New Roman" w:eastAsia="方正小标宋_GBK" w:cs="Times New Roman"/>
          <w:b w:val="0"/>
          <w:kern w:val="2"/>
          <w:sz w:val="44"/>
          <w:szCs w:val="44"/>
          <w:shd w:val="clear" w:color="auto" w:fill="FFFFFF"/>
          <w:lang w:val="en-US" w:eastAsia="zh-CN" w:bidi="ar-SA"/>
        </w:rPr>
      </w:pPr>
      <w:r>
        <w:rPr>
          <w:rStyle w:val="14"/>
          <w:rFonts w:hint="default" w:ascii="Times New Roman" w:hAnsi="Times New Roman" w:eastAsia="方正小标宋_GBK" w:cs="Times New Roman"/>
          <w:b w:val="0"/>
          <w:kern w:val="2"/>
          <w:sz w:val="44"/>
          <w:szCs w:val="44"/>
          <w:shd w:val="clear" w:color="auto" w:fill="FFFFFF"/>
          <w:lang w:val="en-US" w:eastAsia="zh-CN" w:bidi="ar-SA"/>
        </w:rPr>
        <w:t>潘集区工程项目招标采购指导意见</w:t>
      </w:r>
    </w:p>
    <w:p>
      <w:pPr>
        <w:pStyle w:val="10"/>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90" w:lineRule="exact"/>
        <w:ind w:left="0" w:leftChars="0"/>
        <w:jc w:val="both"/>
        <w:textAlignment w:val="auto"/>
        <w:rPr>
          <w:rFonts w:hint="default" w:ascii="Times New Roman" w:hAnsi="Times New Roman" w:cs="Times New Roman"/>
          <w:color w:val="000000"/>
          <w:sz w:val="32"/>
          <w:szCs w:val="32"/>
        </w:rPr>
      </w:pPr>
    </w:p>
    <w:p>
      <w:pPr>
        <w:pStyle w:val="10"/>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90" w:lineRule="exact"/>
        <w:ind w:left="0" w:leftChars="0"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为切实加强工程项目招标采购管理，根据市财政局《关于明确政府采购工程项目实施公开招标采购数额标准的通知》（淮财购[2017]658号）和市公管局《工程项目招标采购方式指导性意见》等文件精神，结合我区实际，制定如下指导意见。</w:t>
      </w:r>
    </w:p>
    <w:p>
      <w:pPr>
        <w:keepNext w:val="0"/>
        <w:keepLines w:val="0"/>
        <w:pageBreakBefore w:val="0"/>
        <w:widowControl w:val="0"/>
        <w:suppressAutoHyphens/>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default" w:ascii="Times New Roman" w:hAnsi="Times New Roman" w:eastAsia="方正黑体_GBK" w:cs="Times New Roman"/>
          <w:kern w:val="0"/>
          <w:sz w:val="32"/>
          <w:szCs w:val="32"/>
          <w:shd w:val="clear" w:color="auto" w:fill="FFFFFF"/>
          <w:lang w:val="en-US" w:eastAsia="zh-CN" w:bidi="ar-SA"/>
        </w:rPr>
      </w:pPr>
      <w:r>
        <w:rPr>
          <w:rFonts w:hint="default" w:ascii="Times New Roman" w:hAnsi="Times New Roman" w:eastAsia="方正黑体_GBK" w:cs="Times New Roman"/>
          <w:kern w:val="0"/>
          <w:sz w:val="32"/>
          <w:szCs w:val="32"/>
          <w:shd w:val="clear" w:color="auto" w:fill="FFFFFF"/>
          <w:lang w:val="en-US" w:eastAsia="zh-CN" w:bidi="ar-SA"/>
        </w:rPr>
        <w:t>一、采购层级及限额</w:t>
      </w:r>
    </w:p>
    <w:p>
      <w:pPr>
        <w:pStyle w:val="10"/>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90" w:lineRule="exact"/>
        <w:ind w:left="0" w:leftChars="0" w:firstLine="470" w:firstLineChars="147"/>
        <w:jc w:val="both"/>
        <w:textAlignment w:val="auto"/>
        <w:rPr>
          <w:rFonts w:hint="default" w:ascii="Times New Roman" w:hAnsi="Times New Roman" w:eastAsia="方正楷体_GBK" w:cs="Times New Roman"/>
          <w:kern w:val="0"/>
          <w:sz w:val="32"/>
          <w:szCs w:val="32"/>
          <w:shd w:val="clear" w:color="auto" w:fill="FFFFFF"/>
          <w:lang w:val="en-US" w:eastAsia="zh-CN" w:bidi="ar-SA"/>
        </w:rPr>
      </w:pPr>
      <w:r>
        <w:rPr>
          <w:rFonts w:hint="default" w:ascii="Times New Roman" w:hAnsi="Times New Roman" w:eastAsia="方正楷体_GBK" w:cs="Times New Roman"/>
          <w:kern w:val="0"/>
          <w:sz w:val="32"/>
          <w:szCs w:val="32"/>
          <w:shd w:val="clear" w:color="auto" w:fill="FFFFFF"/>
          <w:lang w:val="en-US" w:eastAsia="zh-CN" w:bidi="ar-SA"/>
        </w:rPr>
        <w:t>（一）进入市级公共资源交易中心交易并采用公开招标方式采购的项目</w:t>
      </w:r>
    </w:p>
    <w:p>
      <w:pPr>
        <w:pStyle w:val="10"/>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90" w:lineRule="exact"/>
        <w:ind w:left="0" w:leftChars="0" w:firstLine="645"/>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1、400万元及以上的工程建设项目。主要包括建筑物和构筑物的新建、改建、扩建及其相关的装修、拆除、修缮等工程项目。</w:t>
      </w:r>
    </w:p>
    <w:p>
      <w:pPr>
        <w:pStyle w:val="10"/>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90" w:lineRule="exact"/>
        <w:ind w:left="0" w:leftChars="0" w:firstLine="645"/>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2、100万元及以上与工程建设有关的重要设备、材料等货物项目。</w:t>
      </w:r>
    </w:p>
    <w:p>
      <w:pPr>
        <w:pStyle w:val="10"/>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90" w:lineRule="exact"/>
        <w:ind w:left="0" w:leftChars="0" w:firstLine="645"/>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3、100万元及以上与工程建设有关的勘察、设计、监理等服务项目。</w:t>
      </w:r>
    </w:p>
    <w:p>
      <w:pPr>
        <w:pStyle w:val="10"/>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90" w:lineRule="exact"/>
        <w:ind w:left="0" w:leftChars="0" w:firstLine="313" w:firstLineChars="98"/>
        <w:jc w:val="both"/>
        <w:textAlignment w:val="auto"/>
        <w:rPr>
          <w:rFonts w:hint="default" w:ascii="Times New Roman" w:hAnsi="Times New Roman" w:eastAsia="方正楷体_GBK" w:cs="Times New Roman"/>
          <w:kern w:val="0"/>
          <w:sz w:val="32"/>
          <w:szCs w:val="32"/>
          <w:shd w:val="clear" w:color="auto" w:fill="FFFFFF"/>
          <w:lang w:val="en-US" w:eastAsia="zh-CN" w:bidi="ar-SA"/>
        </w:rPr>
      </w:pPr>
      <w:r>
        <w:rPr>
          <w:rFonts w:hint="default" w:ascii="Times New Roman" w:hAnsi="Times New Roman" w:eastAsia="方正楷体_GBK" w:cs="Times New Roman"/>
          <w:kern w:val="0"/>
          <w:sz w:val="32"/>
          <w:szCs w:val="32"/>
          <w:shd w:val="clear" w:color="auto" w:fill="FFFFFF"/>
          <w:lang w:val="en-US" w:eastAsia="zh-CN" w:bidi="ar-SA"/>
        </w:rPr>
        <w:t>（二）进入区采购中心交易平台交易的工程采购项目</w:t>
      </w:r>
    </w:p>
    <w:p>
      <w:pPr>
        <w:pStyle w:val="10"/>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90" w:lineRule="exact"/>
        <w:ind w:left="0" w:leftChars="0" w:firstLine="645"/>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1、30万元（含30万元）以上400万元以下的工程建设项目。可通过潘集区小额零星工程库采购，也可择优选取供应商，采用非公开招标方式采购。</w:t>
      </w:r>
    </w:p>
    <w:p>
      <w:pPr>
        <w:pStyle w:val="10"/>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90" w:lineRule="exact"/>
        <w:ind w:left="0" w:leftChars="0" w:firstLine="645"/>
        <w:jc w:val="both"/>
        <w:textAlignment w:val="auto"/>
        <w:rPr>
          <w:rFonts w:hint="default" w:ascii="Times New Roman" w:hAnsi="Times New Roman" w:eastAsia="方正小标宋_GBK" w:cs="Times New Roman"/>
          <w:b w:val="0"/>
          <w:bCs w:val="0"/>
          <w:kern w:val="0"/>
          <w:sz w:val="44"/>
          <w:szCs w:val="44"/>
          <w:shd w:val="clear" w:color="auto" w:fill="FFFFFF"/>
          <w:lang w:val="en-US" w:eastAsia="zh-CN" w:bidi="ar-SA"/>
        </w:rPr>
      </w:pPr>
      <w:r>
        <w:rPr>
          <w:rFonts w:hint="default" w:ascii="Times New Roman" w:hAnsi="Times New Roman" w:eastAsia="仿宋_GB2312" w:cs="Times New Roman"/>
          <w:color w:val="000000"/>
          <w:sz w:val="32"/>
          <w:szCs w:val="32"/>
        </w:rPr>
        <w:t>2、10万元（含10万元）以上100万元以下的货物项目。主要包括与工程建设有关的重要设备、材料等货物采购项目。</w:t>
      </w:r>
    </w:p>
    <w:p>
      <w:pPr>
        <w:pStyle w:val="10"/>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90" w:lineRule="exact"/>
        <w:ind w:left="0" w:leftChars="0" w:firstLine="645"/>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3、10万元（含10万元）以上100万元以下除监理以外的服务项目。主要包括与工程建设有关的勘察、设计等服务项目。2万元（含2万元）以上100万元以下的监理服务项目，可通过潘集区工程监理服务库采购。</w:t>
      </w:r>
    </w:p>
    <w:p>
      <w:pPr>
        <w:pStyle w:val="10"/>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90" w:lineRule="exact"/>
        <w:ind w:left="0" w:leftChars="0" w:firstLine="313" w:firstLineChars="98"/>
        <w:jc w:val="both"/>
        <w:textAlignment w:val="auto"/>
        <w:rPr>
          <w:rFonts w:hint="default" w:ascii="Times New Roman" w:hAnsi="Times New Roman" w:eastAsia="方正楷体_GBK" w:cs="Times New Roman"/>
          <w:kern w:val="0"/>
          <w:sz w:val="32"/>
          <w:szCs w:val="32"/>
          <w:shd w:val="clear" w:color="auto" w:fill="FFFFFF"/>
          <w:lang w:val="en-US" w:eastAsia="zh-CN" w:bidi="ar-SA"/>
        </w:rPr>
      </w:pPr>
      <w:r>
        <w:rPr>
          <w:rFonts w:hint="default" w:ascii="Times New Roman" w:hAnsi="Times New Roman" w:eastAsia="方正楷体_GBK" w:cs="Times New Roman"/>
          <w:kern w:val="0"/>
          <w:sz w:val="32"/>
          <w:szCs w:val="32"/>
          <w:shd w:val="clear" w:color="auto" w:fill="FFFFFF"/>
          <w:lang w:val="en-US" w:eastAsia="zh-CN" w:bidi="ar-SA"/>
        </w:rPr>
        <w:t>（三）采购单位自行采购的项目</w:t>
      </w:r>
    </w:p>
    <w:p>
      <w:pPr>
        <w:pStyle w:val="10"/>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90" w:lineRule="exact"/>
        <w:ind w:left="0" w:leftChars="0"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1、30万元以下工程建设项目。</w:t>
      </w:r>
    </w:p>
    <w:p>
      <w:pPr>
        <w:pStyle w:val="10"/>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90" w:lineRule="exact"/>
        <w:ind w:left="0" w:leftChars="0"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2、10万元以下的货物项目。</w:t>
      </w:r>
    </w:p>
    <w:p>
      <w:pPr>
        <w:pStyle w:val="10"/>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90" w:lineRule="exact"/>
        <w:ind w:left="0" w:leftChars="0"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3、10万元以下除监理以外的服务项目，2万元以下的监理服务项目。</w:t>
      </w:r>
    </w:p>
    <w:p>
      <w:pPr>
        <w:pStyle w:val="10"/>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90" w:lineRule="exact"/>
        <w:ind w:left="0" w:leftChars="0"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未达到区级采购限额的项目，根据项目实际需要，采购单位择优选择本地企业或进入“淮采商城”采购。</w:t>
      </w:r>
    </w:p>
    <w:p>
      <w:pPr>
        <w:keepNext w:val="0"/>
        <w:keepLines w:val="0"/>
        <w:pageBreakBefore w:val="0"/>
        <w:widowControl w:val="0"/>
        <w:suppressAutoHyphens/>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default" w:ascii="Times New Roman" w:hAnsi="Times New Roman" w:eastAsia="方正黑体_GBK" w:cs="Times New Roman"/>
          <w:kern w:val="0"/>
          <w:sz w:val="32"/>
          <w:szCs w:val="32"/>
          <w:shd w:val="clear" w:color="auto" w:fill="FFFFFF"/>
          <w:lang w:val="en-US" w:eastAsia="zh-CN" w:bidi="ar-SA"/>
        </w:rPr>
      </w:pPr>
      <w:r>
        <w:rPr>
          <w:rFonts w:hint="default" w:ascii="Times New Roman" w:hAnsi="Times New Roman" w:eastAsia="方正黑体_GBK" w:cs="Times New Roman"/>
          <w:kern w:val="0"/>
          <w:sz w:val="32"/>
          <w:szCs w:val="32"/>
          <w:shd w:val="clear" w:color="auto" w:fill="FFFFFF"/>
          <w:lang w:val="en-US" w:eastAsia="zh-CN" w:bidi="ar-SA"/>
        </w:rPr>
        <w:t>二、采购方式</w:t>
      </w:r>
    </w:p>
    <w:p>
      <w:pPr>
        <w:pStyle w:val="10"/>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90" w:lineRule="exact"/>
        <w:ind w:left="0" w:leftChars="0" w:firstLine="643"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b/>
          <w:color w:val="000000"/>
          <w:sz w:val="32"/>
          <w:szCs w:val="32"/>
        </w:rPr>
        <w:t xml:space="preserve"> </w:t>
      </w:r>
      <w:r>
        <w:rPr>
          <w:rFonts w:hint="default" w:ascii="Times New Roman" w:hAnsi="Times New Roman" w:eastAsia="仿宋_GB2312" w:cs="Times New Roman"/>
          <w:color w:val="000000"/>
          <w:sz w:val="32"/>
          <w:szCs w:val="32"/>
        </w:rPr>
        <w:t>1、达到公开招标限额标准及以上的工程项目，应当进入市公共资源交易中心招标交易，并采用公开招标方式进行招标。如根据工作需要，拟采用非公开招标方式采购的，需说明理由，经区政府同意，市财政局审核，报市政府批准，方可实施采购。</w:t>
      </w:r>
    </w:p>
    <w:p>
      <w:pPr>
        <w:pStyle w:val="10"/>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90" w:lineRule="exact"/>
        <w:ind w:left="0" w:leftChars="0"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2、未达到公开招标限额标准的，可采用非公开招标方式采购，主要包括邀请招标、竞争性谈判、竞争性磋商、询价、单一来源等采购方式，由采购单位结合项目需求特点自主选择采购方式，报区财政局审批。</w:t>
      </w:r>
    </w:p>
    <w:p>
      <w:pPr>
        <w:pStyle w:val="10"/>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90" w:lineRule="exact"/>
        <w:ind w:left="0" w:leftChars="0"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3、对于一些重要的、采购金额较大的工程项目，虽未达到公开招标限额标准，也可申请进入市公共资源交易中心平台公开招标，需经原项目核批部门或区政府同意，方可实施采购。</w:t>
      </w:r>
    </w:p>
    <w:p>
      <w:pPr>
        <w:pStyle w:val="10"/>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90" w:lineRule="exact"/>
        <w:ind w:left="0" w:leftChars="0"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采取招标方式招标的，适用法规为招标投标法及其实施条例。采取非招标方式招标的，适用法规为政府采购法及其实施条例。</w:t>
      </w:r>
    </w:p>
    <w:p>
      <w:pPr>
        <w:keepNext w:val="0"/>
        <w:keepLines w:val="0"/>
        <w:pageBreakBefore w:val="0"/>
        <w:widowControl w:val="0"/>
        <w:suppressAutoHyphens/>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default" w:ascii="Times New Roman" w:hAnsi="Times New Roman" w:eastAsia="方正黑体_GBK" w:cs="Times New Roman"/>
          <w:kern w:val="0"/>
          <w:sz w:val="32"/>
          <w:szCs w:val="32"/>
          <w:shd w:val="clear" w:color="auto" w:fill="FFFFFF"/>
          <w:lang w:val="en-US" w:eastAsia="zh-CN" w:bidi="ar-SA"/>
        </w:rPr>
      </w:pPr>
      <w:r>
        <w:rPr>
          <w:rFonts w:hint="default" w:ascii="Times New Roman" w:hAnsi="Times New Roman" w:eastAsia="方正黑体_GBK" w:cs="Times New Roman"/>
          <w:kern w:val="0"/>
          <w:sz w:val="32"/>
          <w:szCs w:val="32"/>
          <w:shd w:val="clear" w:color="auto" w:fill="FFFFFF"/>
          <w:lang w:val="en-US" w:eastAsia="zh-CN" w:bidi="ar-SA"/>
        </w:rPr>
        <w:t>三、申报审批程序</w:t>
      </w:r>
    </w:p>
    <w:p>
      <w:pPr>
        <w:keepNext w:val="0"/>
        <w:keepLines w:val="0"/>
        <w:pageBreakBefore w:val="0"/>
        <w:widowControl w:val="0"/>
        <w:kinsoku/>
        <w:wordWrap/>
        <w:overflowPunct/>
        <w:topLinePunct w:val="0"/>
        <w:autoSpaceDE/>
        <w:autoSpaceDN/>
        <w:bidi w:val="0"/>
        <w:adjustRightInd/>
        <w:snapToGrid/>
        <w:spacing w:line="590" w:lineRule="exact"/>
        <w:ind w:left="0" w:lef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1、列入年度采购预算安排的工程项目、本级预算追加安排的工程项目、上级专项转移支付资金安排的工程项目等，由采购单位填写招标采购申请审批表，报区财政局审核、审批。</w:t>
      </w:r>
    </w:p>
    <w:p>
      <w:pPr>
        <w:keepNext w:val="0"/>
        <w:keepLines w:val="0"/>
        <w:pageBreakBefore w:val="0"/>
        <w:widowControl w:val="0"/>
        <w:kinsoku/>
        <w:wordWrap/>
        <w:overflowPunct/>
        <w:topLinePunct w:val="0"/>
        <w:autoSpaceDE/>
        <w:autoSpaceDN/>
        <w:bidi w:val="0"/>
        <w:adjustRightInd/>
        <w:snapToGrid/>
        <w:spacing w:line="590" w:lineRule="exact"/>
        <w:ind w:left="0" w:lef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采购单位安排的工程项目，资金来源于自由资金或经营性收入的，由采购单位填写招标采购申请审批表，提供项目批复文件、采购资金落实证明或采购资金转入财政账户的转账凭据等资料，报区财政局审核、审批。</w:t>
      </w:r>
    </w:p>
    <w:p>
      <w:pPr>
        <w:keepNext w:val="0"/>
        <w:keepLines w:val="0"/>
        <w:pageBreakBefore w:val="0"/>
        <w:widowControl w:val="0"/>
        <w:suppressAutoHyphens/>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default" w:ascii="Times New Roman" w:hAnsi="Times New Roman" w:eastAsia="方正黑体_GBK" w:cs="Times New Roman"/>
          <w:kern w:val="0"/>
          <w:sz w:val="32"/>
          <w:szCs w:val="32"/>
          <w:shd w:val="clear" w:color="auto" w:fill="FFFFFF"/>
          <w:lang w:val="en-US" w:eastAsia="zh-CN" w:bidi="ar-SA"/>
        </w:rPr>
      </w:pPr>
      <w:r>
        <w:rPr>
          <w:rFonts w:hint="default" w:ascii="Times New Roman" w:hAnsi="Times New Roman" w:eastAsia="方正黑体_GBK" w:cs="Times New Roman"/>
          <w:kern w:val="0"/>
          <w:sz w:val="32"/>
          <w:szCs w:val="32"/>
          <w:shd w:val="clear" w:color="auto" w:fill="FFFFFF"/>
          <w:lang w:val="en-US" w:eastAsia="zh-CN" w:bidi="ar-SA"/>
        </w:rPr>
        <w:t>四、其他采购事项</w:t>
      </w:r>
    </w:p>
    <w:p>
      <w:pPr>
        <w:keepNext w:val="0"/>
        <w:keepLines w:val="0"/>
        <w:pageBreakBefore w:val="0"/>
        <w:widowControl w:val="0"/>
        <w:kinsoku/>
        <w:wordWrap/>
        <w:overflowPunct/>
        <w:topLinePunct w:val="0"/>
        <w:autoSpaceDE/>
        <w:autoSpaceDN/>
        <w:bidi w:val="0"/>
        <w:adjustRightInd/>
        <w:snapToGrid/>
        <w:spacing w:line="590" w:lineRule="exact"/>
        <w:ind w:left="0" w:lef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1、政府采购限额标准按照淮南市财政局下达的关于政府集中采购目录及采购限额标准的规定执行。</w:t>
      </w:r>
    </w:p>
    <w:p>
      <w:pPr>
        <w:keepNext w:val="0"/>
        <w:keepLines w:val="0"/>
        <w:pageBreakBefore w:val="0"/>
        <w:widowControl w:val="0"/>
        <w:kinsoku/>
        <w:wordWrap/>
        <w:overflowPunct/>
        <w:topLinePunct w:val="0"/>
        <w:autoSpaceDE/>
        <w:autoSpaceDN/>
        <w:bidi w:val="0"/>
        <w:adjustRightInd/>
        <w:snapToGrid/>
        <w:spacing w:line="590" w:lineRule="exact"/>
        <w:ind w:left="0" w:lef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w:t>
      </w:r>
      <w:r>
        <w:rPr>
          <w:rFonts w:hint="default" w:ascii="Times New Roman" w:hAnsi="Times New Roman" w:eastAsia="仿宋_GB2312" w:cs="Times New Roman"/>
          <w:color w:val="000000"/>
          <w:sz w:val="32"/>
          <w:szCs w:val="32"/>
          <w:shd w:val="clear" w:color="auto" w:fill="FFFFFF"/>
        </w:rPr>
        <w:t>政府采购预算下达前，预算单位确需提前办理采购事宜的,可对采购项目实施预采购，向区财政局报送采购计划，按程序组织实施采购活动，按照淮南市财政局关于对政府采购项目实行预采购的规定</w:t>
      </w:r>
      <w:r>
        <w:rPr>
          <w:rFonts w:hint="default" w:ascii="Times New Roman" w:hAnsi="Times New Roman" w:eastAsia="仿宋_GB2312" w:cs="Times New Roman"/>
          <w:sz w:val="32"/>
          <w:szCs w:val="32"/>
        </w:rPr>
        <w:t>执行</w:t>
      </w:r>
      <w:r>
        <w:rPr>
          <w:rFonts w:hint="default" w:ascii="Times New Roman" w:hAnsi="Times New Roman" w:eastAsia="仿宋_GB2312" w:cs="Times New Roman"/>
          <w:color w:val="000000"/>
          <w:sz w:val="32"/>
          <w:szCs w:val="32"/>
          <w:shd w:val="clear" w:color="auto" w:fill="FFFFFF"/>
        </w:rPr>
        <w:t>。</w:t>
      </w:r>
    </w:p>
    <w:p>
      <w:pPr>
        <w:pStyle w:val="10"/>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90" w:lineRule="exact"/>
        <w:ind w:left="0" w:leftChars="0"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本意见自印发之日起实施。</w:t>
      </w:r>
    </w:p>
    <w:p>
      <w:pPr>
        <w:pStyle w:val="2"/>
        <w:rPr>
          <w:rFonts w:hint="default" w:ascii="Times New Roman" w:hAnsi="Times New Roman" w:cs="Times New Roman"/>
          <w:lang w:val="en-US" w:eastAsia="zh-CN"/>
        </w:rPr>
      </w:pP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script"/>
    <w:pitch w:val="default"/>
    <w:sig w:usb0="00000001" w:usb1="080E0000" w:usb2="00000000" w:usb3="00000000" w:csb0="00040000" w:csb1="00000000"/>
  </w:font>
  <w:font w:name="方正小标宋简体">
    <w:altName w:val="仿宋_GB2312"/>
    <w:panose1 w:val="03000509000000000000"/>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大标宋_GBK">
    <w:altName w:val="微软雅黑"/>
    <w:panose1 w:val="03000509000000000000"/>
    <w:charset w:val="86"/>
    <w:family w:val="script"/>
    <w:pitch w:val="default"/>
    <w:sig w:usb0="00000000" w:usb1="00000000" w:usb2="00000010" w:usb3="00000000" w:csb0="00040000" w:csb1="00000000"/>
  </w:font>
  <w:font w:name="方正楷体_GBK">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方正黑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8"/>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9"/>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cs="宋体"/>
        <w:b/>
        <w:bCs/>
        <w:color w:val="005192"/>
        <w:sz w:val="28"/>
        <w:szCs w:val="28"/>
        <w:lang w:val="en-US" w:eastAsia="zh-CN"/>
      </w:rPr>
      <w:t>潘集区人民政府办公室</w:t>
    </w:r>
    <w:r>
      <w:rPr>
        <w:rFonts w:hint="eastAsia" w:ascii="宋体" w:hAnsi="宋体" w:eastAsia="宋体" w:cs="宋体"/>
        <w:b/>
        <w:bCs/>
        <w:color w:val="005192"/>
        <w:sz w:val="28"/>
        <w:szCs w:val="28"/>
        <w:lang w:val="en-US" w:eastAsia="zh-CN"/>
      </w:rPr>
      <w:t>发布</w:t>
    </w:r>
    <w:r>
      <w:rPr>
        <w:rFonts w:hint="eastAsia" w:ascii="宋体" w:hAnsi="宋体" w:eastAsia="宋体" w:cs="宋体"/>
        <w:b w:val="0"/>
        <w:bCs w:val="0"/>
        <w:color w:val="005192"/>
        <w:sz w:val="28"/>
        <w:szCs w:val="28"/>
        <w:lang w:val="en-US" w:eastAsia="zh-CN"/>
      </w:rPr>
      <w:t xml:space="preserve"> </w:t>
    </w:r>
    <w:r>
      <w:rPr>
        <w:rFonts w:hint="eastAsia" w:ascii="宋体" w:hAnsi="宋体" w:eastAsia="宋体" w:cs="宋体"/>
        <w:b w:val="0"/>
        <w:bCs w:val="0"/>
        <w:color w:val="005192"/>
        <w:sz w:val="28"/>
        <w:szCs w:val="44"/>
        <w:lang w:val="en-US" w:eastAsia="zh-CN"/>
      </w:rPr>
      <w:t xml:space="preserve"> </w:t>
    </w:r>
    <w:r>
      <w:rPr>
        <w:rFonts w:hint="eastAsia" w:ascii="宋体" w:hAnsi="宋体" w:eastAsia="宋体" w:cs="宋体"/>
        <w:b/>
        <w:bCs/>
        <w:color w:val="005192"/>
        <w:sz w:val="28"/>
        <w:szCs w:val="44"/>
        <w:lang w:val="en-US" w:eastAsia="zh-CN"/>
      </w:rPr>
      <w:t xml:space="preserve">  </w:t>
    </w:r>
  </w:p>
  <w:p>
    <w:pPr>
      <w:pStyle w:val="9"/>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9"/>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val="0"/>
        <w:bCs w:val="0"/>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cs="宋体"/>
        <w:b/>
        <w:bCs/>
        <w:color w:val="005192"/>
        <w:sz w:val="32"/>
        <w:lang w:val="en-US" w:eastAsia="zh-CN"/>
      </w:rPr>
      <w:t>潘集区人民政府</w:t>
    </w:r>
    <w:r>
      <w:rPr>
        <w:rFonts w:hint="eastAsia" w:ascii="宋体" w:hAnsi="宋体" w:eastAsia="宋体" w:cs="宋体"/>
        <w:b/>
        <w:bCs/>
        <w:color w:val="005192"/>
        <w:sz w:val="32"/>
        <w:lang w:eastAsia="zh-CN"/>
      </w:rPr>
      <w:t>行政规范性文件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dit="readOnly" w:enforcement="1" w:cryptProviderType="rsaFull" w:cryptAlgorithmClass="hash" w:cryptAlgorithmType="typeAny" w:cryptAlgorithmSid="4" w:cryptSpinCount="0" w:hash="GXxPYLpSOrLPqIxegikiICovxDA=" w:salt="JIaW2Kr+UG6RSN/9zTFHbQ=="/>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YwMmIxZjgzNThkNWRlOTM5MWNkYjliOWI4MWRmYmYifQ=="/>
  </w:docVars>
  <w:rsids>
    <w:rsidRoot w:val="00172A27"/>
    <w:rsid w:val="005F037B"/>
    <w:rsid w:val="007E51DA"/>
    <w:rsid w:val="01711CB4"/>
    <w:rsid w:val="019E71BD"/>
    <w:rsid w:val="04B679C3"/>
    <w:rsid w:val="05E451B5"/>
    <w:rsid w:val="080F63D8"/>
    <w:rsid w:val="09341458"/>
    <w:rsid w:val="0B0912D7"/>
    <w:rsid w:val="0C227ABB"/>
    <w:rsid w:val="1111098D"/>
    <w:rsid w:val="118728A6"/>
    <w:rsid w:val="152D2DCA"/>
    <w:rsid w:val="17FB6EFE"/>
    <w:rsid w:val="1A2170CF"/>
    <w:rsid w:val="1DEC284C"/>
    <w:rsid w:val="1E6523AC"/>
    <w:rsid w:val="1F427989"/>
    <w:rsid w:val="22440422"/>
    <w:rsid w:val="31A15F24"/>
    <w:rsid w:val="3647730B"/>
    <w:rsid w:val="395347B5"/>
    <w:rsid w:val="39A232A0"/>
    <w:rsid w:val="39E745AA"/>
    <w:rsid w:val="3B5A6BBB"/>
    <w:rsid w:val="3E1C6FD2"/>
    <w:rsid w:val="3EDA13A6"/>
    <w:rsid w:val="42F058B7"/>
    <w:rsid w:val="436109F6"/>
    <w:rsid w:val="441A38D4"/>
    <w:rsid w:val="464F23A8"/>
    <w:rsid w:val="47A1129D"/>
    <w:rsid w:val="4BC77339"/>
    <w:rsid w:val="4C9236C5"/>
    <w:rsid w:val="4DEA6AA2"/>
    <w:rsid w:val="4F46264C"/>
    <w:rsid w:val="4FFF755F"/>
    <w:rsid w:val="505C172E"/>
    <w:rsid w:val="52F46F0B"/>
    <w:rsid w:val="53D8014D"/>
    <w:rsid w:val="53FD1143"/>
    <w:rsid w:val="55E064E0"/>
    <w:rsid w:val="572C6D10"/>
    <w:rsid w:val="57402168"/>
    <w:rsid w:val="5DC34279"/>
    <w:rsid w:val="5DC51367"/>
    <w:rsid w:val="608816D1"/>
    <w:rsid w:val="60EF4E7F"/>
    <w:rsid w:val="61181721"/>
    <w:rsid w:val="61DE5373"/>
    <w:rsid w:val="6554276A"/>
    <w:rsid w:val="665233C1"/>
    <w:rsid w:val="6AD9688B"/>
    <w:rsid w:val="6B2E4316"/>
    <w:rsid w:val="6D0E3F22"/>
    <w:rsid w:val="70BC57B2"/>
    <w:rsid w:val="7143439E"/>
    <w:rsid w:val="79BF7377"/>
    <w:rsid w:val="7C9011D9"/>
    <w:rsid w:val="7DC651C5"/>
    <w:rsid w:val="7E692AD8"/>
    <w:rsid w:val="7FCC28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qFormat="1" w:uiPriority="99"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uppressAutoHyphens/>
      <w:bidi w:val="0"/>
      <w:jc w:val="both"/>
    </w:pPr>
    <w:rPr>
      <w:rFonts w:ascii="Calibri" w:hAnsi="Calibri" w:eastAsia="宋体" w:cs="Times New Roman"/>
      <w:color w:val="auto"/>
      <w:kern w:val="2"/>
      <w:sz w:val="21"/>
      <w:szCs w:val="24"/>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13">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styleId="2">
    <w:name w:val="Body Text Indent 2"/>
    <w:basedOn w:val="1"/>
    <w:next w:val="1"/>
    <w:qFormat/>
    <w:uiPriority w:val="0"/>
    <w:pPr>
      <w:spacing w:line="590" w:lineRule="exact"/>
      <w:ind w:firstLine="880" w:firstLineChars="200"/>
    </w:pPr>
    <w:rPr>
      <w:rFonts w:eastAsia="方正仿宋_GBK"/>
      <w:b/>
      <w:bCs/>
      <w:kern w:val="0"/>
      <w:sz w:val="32"/>
      <w:szCs w:val="32"/>
    </w:rPr>
  </w:style>
  <w:style w:type="paragraph" w:styleId="5">
    <w:name w:val="annotation text"/>
    <w:basedOn w:val="1"/>
    <w:qFormat/>
    <w:uiPriority w:val="0"/>
    <w:pPr>
      <w:jc w:val="left"/>
    </w:pPr>
  </w:style>
  <w:style w:type="paragraph" w:styleId="6">
    <w:name w:val="Body Text"/>
    <w:basedOn w:val="1"/>
    <w:unhideWhenUsed/>
    <w:qFormat/>
    <w:uiPriority w:val="99"/>
  </w:style>
  <w:style w:type="paragraph" w:styleId="7">
    <w:name w:val="Body Text Indent"/>
    <w:basedOn w:val="1"/>
    <w:semiHidden/>
    <w:unhideWhenUsed/>
    <w:qFormat/>
    <w:uiPriority w:val="99"/>
    <w:pPr>
      <w:spacing w:after="120"/>
      <w:ind w:left="420" w:leftChars="200"/>
    </w:p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0">
    <w:name w:val="Normal (Web)"/>
    <w:basedOn w:val="1"/>
    <w:qFormat/>
    <w:uiPriority w:val="0"/>
    <w:rPr>
      <w:sz w:val="24"/>
    </w:rPr>
  </w:style>
  <w:style w:type="paragraph" w:styleId="11">
    <w:name w:val="Body Text First Indent 2"/>
    <w:basedOn w:val="7"/>
    <w:next w:val="1"/>
    <w:unhideWhenUsed/>
    <w:qFormat/>
    <w:uiPriority w:val="0"/>
    <w:pPr>
      <w:ind w:firstLine="420" w:firstLineChars="200"/>
    </w:pPr>
  </w:style>
  <w:style w:type="character" w:styleId="14">
    <w:name w:val="Strong"/>
    <w:basedOn w:val="13"/>
    <w:qFormat/>
    <w:uiPriority w:val="0"/>
    <w:rPr>
      <w:b/>
      <w:bCs/>
    </w:rPr>
  </w:style>
  <w:style w:type="character" w:styleId="15">
    <w:name w:val="page number"/>
    <w:basedOn w:val="13"/>
    <w:unhideWhenUsed/>
    <w:qFormat/>
    <w:uiPriority w:val="99"/>
  </w:style>
  <w:style w:type="paragraph" w:customStyle="1" w:styleId="16">
    <w:name w:val="p0"/>
    <w:basedOn w:val="1"/>
    <w:qFormat/>
    <w:uiPriority w:val="0"/>
    <w:pPr>
      <w:widowControl/>
    </w:pPr>
    <w:rPr>
      <w:rFonts w:ascii="Calibri" w:hAnsi="Calibri" w:eastAsia="宋体" w:cs="宋体"/>
      <w:kern w:val="0"/>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1414</Words>
  <Characters>1454</Characters>
  <Lines>1</Lines>
  <Paragraphs>1</Paragraphs>
  <TotalTime>2</TotalTime>
  <ScaleCrop>false</ScaleCrop>
  <LinksUpToDate>false</LinksUpToDate>
  <CharactersWithSpaces>1455</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百花百度叶</cp:lastModifiedBy>
  <cp:lastPrinted>2021-10-26T03:30:00Z</cp:lastPrinted>
  <dcterms:modified xsi:type="dcterms:W3CDTF">2022-12-02T07:06:31Z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CBE8FF851D964739AEB42A4E775E6772</vt:lpwstr>
  </property>
</Properties>
</file>