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方正小标宋简体" w:hAnsi="方正小标宋简体" w:eastAsia="方正小标宋简体" w:cs="方正小标宋简体"/>
          <w:spacing w:val="7"/>
          <w:kern w:val="0"/>
          <w:sz w:val="44"/>
          <w:szCs w:val="44"/>
          <w:lang w:val="en-US" w:eastAsia="zh-CN"/>
        </w:rPr>
      </w:pPr>
      <w:r>
        <w:rPr>
          <w:rFonts w:hint="eastAsia" w:ascii="方正小标宋简体" w:hAnsi="方正小标宋简体" w:eastAsia="方正小标宋简体" w:cs="方正小标宋简体"/>
          <w:spacing w:val="7"/>
          <w:kern w:val="0"/>
          <w:sz w:val="44"/>
          <w:szCs w:val="44"/>
          <w:lang w:val="en-US" w:eastAsia="zh-CN"/>
        </w:rPr>
        <w:t>潘集区政务服务事项所需证明材料清理结果一览表</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小标宋简体" w:hAnsi="方正小标宋简体" w:eastAsia="方正小标宋简体" w:cs="方正小标宋简体"/>
          <w:spacing w:val="7"/>
          <w:kern w:val="0"/>
          <w:sz w:val="44"/>
          <w:szCs w:val="44"/>
          <w:lang w:val="en-US" w:eastAsia="zh-CN"/>
        </w:rPr>
      </w:pPr>
    </w:p>
    <w:tbl>
      <w:tblPr>
        <w:tblStyle w:val="4"/>
        <w:tblW w:w="16133" w:type="dxa"/>
        <w:tblInd w:w="-1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47"/>
        <w:gridCol w:w="1979"/>
        <w:gridCol w:w="1979"/>
        <w:gridCol w:w="1981"/>
        <w:gridCol w:w="5381"/>
        <w:gridCol w:w="1053"/>
        <w:gridCol w:w="1054"/>
        <w:gridCol w:w="21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4" w:hRule="atLeast"/>
        </w:trPr>
        <w:tc>
          <w:tcPr>
            <w:tcW w:w="547" w:type="dxa"/>
            <w:vMerge w:val="restart"/>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sz w:val="28"/>
                <w:szCs w:val="28"/>
              </w:rPr>
            </w:pPr>
            <w:r>
              <w:rPr>
                <w:rFonts w:hint="eastAsia" w:ascii="黑体" w:hAnsi="黑体" w:eastAsia="黑体" w:cs="黑体"/>
                <w:sz w:val="28"/>
                <w:szCs w:val="28"/>
              </w:rPr>
              <w:t>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sz w:val="28"/>
                <w:szCs w:val="28"/>
              </w:rPr>
            </w:pPr>
            <w:r>
              <w:rPr>
                <w:rFonts w:hint="eastAsia" w:ascii="黑体" w:hAnsi="黑体" w:eastAsia="黑体" w:cs="黑体"/>
                <w:sz w:val="28"/>
                <w:szCs w:val="28"/>
              </w:rPr>
              <w:t>号</w:t>
            </w:r>
          </w:p>
        </w:tc>
        <w:tc>
          <w:tcPr>
            <w:tcW w:w="1979" w:type="dxa"/>
            <w:vMerge w:val="restart"/>
            <w:tcBorders>
              <w:top w:val="single" w:color="000000" w:sz="2" w:space="0"/>
              <w:left w:val="single" w:color="000000" w:sz="2" w:space="0"/>
              <w:right w:val="single" w:color="auto" w:sz="4"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服务事项</w:t>
            </w:r>
          </w:p>
        </w:tc>
        <w:tc>
          <w:tcPr>
            <w:tcW w:w="1979" w:type="dxa"/>
            <w:vMerge w:val="restart"/>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事项类型</w:t>
            </w:r>
          </w:p>
        </w:tc>
        <w:tc>
          <w:tcPr>
            <w:tcW w:w="1981" w:type="dxa"/>
            <w:vMerge w:val="restart"/>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黑体" w:hAnsi="黑体" w:eastAsia="黑体" w:cs="黑体"/>
                <w:sz w:val="28"/>
                <w:szCs w:val="28"/>
                <w:lang w:val="en-US" w:eastAsia="zh-CN"/>
              </w:rPr>
            </w:pPr>
            <w:r>
              <w:rPr>
                <w:rFonts w:hint="eastAsia" w:ascii="黑体" w:hAnsi="黑体" w:eastAsia="黑体" w:cs="黑体"/>
                <w:sz w:val="28"/>
                <w:szCs w:val="28"/>
              </w:rPr>
              <w:t>证明</w:t>
            </w:r>
            <w:r>
              <w:rPr>
                <w:rFonts w:hint="eastAsia" w:ascii="黑体" w:hAnsi="黑体" w:eastAsia="黑体" w:cs="黑体"/>
                <w:sz w:val="28"/>
                <w:szCs w:val="28"/>
                <w:lang w:val="en-US" w:eastAsia="zh-CN"/>
              </w:rPr>
              <w:t>材料</w:t>
            </w:r>
          </w:p>
        </w:tc>
        <w:tc>
          <w:tcPr>
            <w:tcW w:w="5381" w:type="dxa"/>
            <w:vMerge w:val="restart"/>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sz w:val="28"/>
                <w:szCs w:val="28"/>
              </w:rPr>
            </w:pPr>
            <w:r>
              <w:rPr>
                <w:rFonts w:hint="eastAsia" w:ascii="黑体" w:hAnsi="黑体" w:eastAsia="黑体" w:cs="黑体"/>
                <w:sz w:val="28"/>
                <w:szCs w:val="28"/>
              </w:rPr>
              <w:t>设定依据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sz w:val="28"/>
                <w:szCs w:val="28"/>
              </w:rPr>
            </w:pPr>
            <w:r>
              <w:rPr>
                <w:rFonts w:hint="eastAsia" w:ascii="黑体" w:hAnsi="黑体" w:eastAsia="黑体" w:cs="黑体"/>
                <w:sz w:val="28"/>
                <w:szCs w:val="28"/>
              </w:rPr>
              <w:t>（名称、文号</w:t>
            </w:r>
            <w:r>
              <w:rPr>
                <w:rFonts w:hint="eastAsia" w:ascii="黑体" w:hAnsi="黑体" w:eastAsia="黑体" w:cs="黑体"/>
                <w:sz w:val="28"/>
                <w:szCs w:val="28"/>
                <w:lang w:eastAsia="zh-CN"/>
              </w:rPr>
              <w:t>、条款</w:t>
            </w:r>
            <w:r>
              <w:rPr>
                <w:rFonts w:hint="eastAsia" w:ascii="黑体" w:hAnsi="黑体" w:eastAsia="黑体" w:cs="黑体"/>
                <w:sz w:val="28"/>
                <w:szCs w:val="28"/>
              </w:rPr>
              <w:t>）</w:t>
            </w:r>
          </w:p>
        </w:tc>
        <w:tc>
          <w:tcPr>
            <w:tcW w:w="2107" w:type="dxa"/>
            <w:gridSpan w:val="2"/>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sz w:val="28"/>
                <w:szCs w:val="28"/>
              </w:rPr>
            </w:pPr>
            <w:r>
              <w:rPr>
                <w:rFonts w:hint="eastAsia" w:ascii="黑体" w:hAnsi="黑体" w:eastAsia="黑体" w:cs="黑体"/>
                <w:sz w:val="28"/>
                <w:szCs w:val="28"/>
              </w:rPr>
              <w:t>清理意见</w:t>
            </w:r>
          </w:p>
        </w:tc>
        <w:tc>
          <w:tcPr>
            <w:tcW w:w="2159" w:type="dxa"/>
            <w:vMerge w:val="restart"/>
            <w:tcBorders>
              <w:top w:val="single" w:color="000000" w:sz="2" w:space="0"/>
              <w:left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是否适用告知承诺制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trPr>
        <w:tc>
          <w:tcPr>
            <w:tcW w:w="547" w:type="dxa"/>
            <w:vMerge w:val="continue"/>
            <w:tcBorders>
              <w:top w:val="single" w:color="000000" w:sz="2"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黑体" w:hAnsi="黑体" w:eastAsia="黑体" w:cs="黑体"/>
                <w:sz w:val="28"/>
                <w:szCs w:val="28"/>
              </w:rPr>
            </w:pPr>
          </w:p>
        </w:tc>
        <w:tc>
          <w:tcPr>
            <w:tcW w:w="1979" w:type="dxa"/>
            <w:vMerge w:val="continue"/>
            <w:tcBorders>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黑体" w:hAnsi="黑体" w:eastAsia="黑体" w:cs="黑体"/>
                <w:sz w:val="28"/>
                <w:szCs w:val="28"/>
              </w:rPr>
            </w:pPr>
          </w:p>
        </w:tc>
        <w:tc>
          <w:tcPr>
            <w:tcW w:w="1979" w:type="dxa"/>
            <w:vMerge w:val="continue"/>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黑体" w:hAnsi="黑体" w:eastAsia="黑体" w:cs="黑体"/>
                <w:sz w:val="28"/>
                <w:szCs w:val="28"/>
              </w:rPr>
            </w:pPr>
          </w:p>
        </w:tc>
        <w:tc>
          <w:tcPr>
            <w:tcW w:w="1981" w:type="dxa"/>
            <w:vMerge w:val="continue"/>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黑体" w:hAnsi="黑体" w:eastAsia="黑体" w:cs="黑体"/>
                <w:sz w:val="28"/>
                <w:szCs w:val="28"/>
              </w:rPr>
            </w:pPr>
          </w:p>
        </w:tc>
        <w:tc>
          <w:tcPr>
            <w:tcW w:w="5381" w:type="dxa"/>
            <w:vMerge w:val="continue"/>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黑体" w:hAnsi="黑体" w:eastAsia="黑体" w:cs="黑体"/>
                <w:sz w:val="28"/>
                <w:szCs w:val="28"/>
              </w:rPr>
            </w:pP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sz w:val="28"/>
                <w:szCs w:val="28"/>
                <w:lang w:eastAsia="zh-CN"/>
              </w:rPr>
            </w:pPr>
            <w:r>
              <w:rPr>
                <w:rFonts w:hint="eastAsia" w:ascii="黑体" w:hAnsi="黑体" w:eastAsia="黑体" w:cs="黑体"/>
                <w:sz w:val="28"/>
                <w:szCs w:val="28"/>
                <w:lang w:val="en-US" w:eastAsia="zh-CN"/>
              </w:rPr>
              <w:t>取消</w:t>
            </w:r>
          </w:p>
        </w:tc>
        <w:tc>
          <w:tcPr>
            <w:tcW w:w="1054" w:type="dxa"/>
            <w:tcBorders>
              <w:top w:val="single" w:color="000000" w:sz="2"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sz w:val="28"/>
                <w:szCs w:val="28"/>
              </w:rPr>
            </w:pPr>
            <w:r>
              <w:rPr>
                <w:rFonts w:hint="eastAsia" w:ascii="黑体" w:hAnsi="黑体" w:eastAsia="黑体" w:cs="黑体"/>
                <w:sz w:val="28"/>
                <w:szCs w:val="28"/>
              </w:rPr>
              <w:t>保留</w:t>
            </w:r>
          </w:p>
        </w:tc>
        <w:tc>
          <w:tcPr>
            <w:tcW w:w="2159" w:type="dxa"/>
            <w:vMerge w:val="continue"/>
            <w:tcBorders>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trPr>
        <w:tc>
          <w:tcPr>
            <w:tcW w:w="16133" w:type="dxa"/>
            <w:gridSpan w:val="8"/>
            <w:tcBorders>
              <w:top w:val="single" w:color="000000" w:sz="2"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区司法局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57" w:hRule="atLeast"/>
        </w:trPr>
        <w:tc>
          <w:tcPr>
            <w:tcW w:w="547"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p>
        </w:tc>
        <w:tc>
          <w:tcPr>
            <w:tcW w:w="1979" w:type="dxa"/>
            <w:vMerge w:val="restart"/>
            <w:tcBorders>
              <w:top w:val="single" w:color="auto" w:sz="4" w:space="0"/>
              <w:left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基层法律服务工作者执业核准</w:t>
            </w:r>
          </w:p>
        </w:tc>
        <w:tc>
          <w:tcPr>
            <w:tcW w:w="1979" w:type="dxa"/>
            <w:vMerge w:val="restart"/>
            <w:tcBorders>
              <w:top w:val="single" w:color="000000" w:sz="2" w:space="0"/>
              <w:left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行政许可</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基层法律服务所出具的同意接收申请人的证明</w:t>
            </w:r>
          </w:p>
        </w:tc>
        <w:tc>
          <w:tcPr>
            <w:tcW w:w="5381" w:type="dxa"/>
            <w:vMerge w:val="restart"/>
            <w:tcBorders>
              <w:top w:val="single" w:color="000000" w:sz="2" w:space="0"/>
              <w:left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根据《基层法律服务工作者管理办法》（司法部令第138号）第十条：申请基层法律服务工作者执业核准的，应当填写申请执业登记表，并提交下列材料：（一）符合本办法第六条规定的学历证书和考试合格证明，或者第七条规定的资格证书；（二）基层法律服务所对申请人实习表现的鉴定意见，或者具有二年以上其他法律职业经历的证明；（三）基层法律服务所出具的同意接收申请人的证明；（四）申请人的身份证明。</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仿宋" w:hAnsi="仿宋" w:eastAsia="仿宋" w:cs="仿宋"/>
                <w:sz w:val="28"/>
                <w:szCs w:val="28"/>
                <w:lang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57" w:hRule="atLeast"/>
        </w:trPr>
        <w:tc>
          <w:tcPr>
            <w:tcW w:w="547"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p>
        </w:tc>
        <w:tc>
          <w:tcPr>
            <w:tcW w:w="1979" w:type="dxa"/>
            <w:vMerge w:val="continue"/>
            <w:tcBorders>
              <w:left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979" w:type="dxa"/>
            <w:vMerge w:val="continue"/>
            <w:tcBorders>
              <w:left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参加省司法行政机关组织的考试合格证明</w:t>
            </w:r>
          </w:p>
        </w:tc>
        <w:tc>
          <w:tcPr>
            <w:tcW w:w="5381" w:type="dxa"/>
            <w:vMerge w:val="continue"/>
            <w:tcBorders>
              <w:left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1"/>
                <w:szCs w:val="21"/>
              </w:rPr>
            </w:pP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仿宋" w:hAnsi="仿宋" w:eastAsia="仿宋" w:cs="仿宋"/>
                <w:sz w:val="28"/>
                <w:szCs w:val="28"/>
                <w:lang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57" w:hRule="atLeast"/>
        </w:trPr>
        <w:tc>
          <w:tcPr>
            <w:tcW w:w="547"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p>
        </w:tc>
        <w:tc>
          <w:tcPr>
            <w:tcW w:w="1979" w:type="dxa"/>
            <w:vMerge w:val="continue"/>
            <w:tcBorders>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979" w:type="dxa"/>
            <w:vMerge w:val="continue"/>
            <w:tcBorders>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基层法律服务所对申请人实习表现的鉴定意见</w:t>
            </w:r>
          </w:p>
        </w:tc>
        <w:tc>
          <w:tcPr>
            <w:tcW w:w="5381" w:type="dxa"/>
            <w:vMerge w:val="continue"/>
            <w:tcBorders>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1"/>
                <w:szCs w:val="21"/>
              </w:rPr>
            </w:pP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仿宋" w:hAnsi="仿宋" w:eastAsia="仿宋" w:cs="仿宋"/>
                <w:sz w:val="28"/>
                <w:szCs w:val="28"/>
                <w:lang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4" w:hRule="atLeast"/>
        </w:trPr>
        <w:tc>
          <w:tcPr>
            <w:tcW w:w="547" w:type="dxa"/>
            <w:vMerge w:val="restart"/>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sz w:val="28"/>
                <w:szCs w:val="28"/>
              </w:rPr>
            </w:pPr>
            <w:r>
              <w:rPr>
                <w:rFonts w:hint="eastAsia" w:ascii="黑体" w:hAnsi="黑体" w:eastAsia="黑体" w:cs="黑体"/>
                <w:sz w:val="28"/>
                <w:szCs w:val="28"/>
              </w:rPr>
              <w:t>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sz w:val="28"/>
                <w:szCs w:val="28"/>
              </w:rPr>
            </w:pPr>
            <w:r>
              <w:rPr>
                <w:rFonts w:hint="eastAsia" w:ascii="黑体" w:hAnsi="黑体" w:eastAsia="黑体" w:cs="黑体"/>
                <w:sz w:val="28"/>
                <w:szCs w:val="28"/>
              </w:rPr>
              <w:t>号</w:t>
            </w:r>
          </w:p>
        </w:tc>
        <w:tc>
          <w:tcPr>
            <w:tcW w:w="1979" w:type="dxa"/>
            <w:vMerge w:val="restart"/>
            <w:tcBorders>
              <w:top w:val="single" w:color="000000" w:sz="2" w:space="0"/>
              <w:left w:val="single" w:color="000000" w:sz="2" w:space="0"/>
              <w:right w:val="single" w:color="auto" w:sz="4"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服务事项</w:t>
            </w:r>
          </w:p>
        </w:tc>
        <w:tc>
          <w:tcPr>
            <w:tcW w:w="1979" w:type="dxa"/>
            <w:vMerge w:val="restart"/>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事项类型</w:t>
            </w:r>
          </w:p>
        </w:tc>
        <w:tc>
          <w:tcPr>
            <w:tcW w:w="1981" w:type="dxa"/>
            <w:vMerge w:val="restart"/>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黑体" w:hAnsi="黑体" w:eastAsia="黑体" w:cs="黑体"/>
                <w:sz w:val="28"/>
                <w:szCs w:val="28"/>
                <w:lang w:val="en-US" w:eastAsia="zh-CN"/>
              </w:rPr>
            </w:pPr>
            <w:r>
              <w:rPr>
                <w:rFonts w:hint="eastAsia" w:ascii="黑体" w:hAnsi="黑体" w:eastAsia="黑体" w:cs="黑体"/>
                <w:sz w:val="28"/>
                <w:szCs w:val="28"/>
              </w:rPr>
              <w:t>证明</w:t>
            </w:r>
            <w:r>
              <w:rPr>
                <w:rFonts w:hint="eastAsia" w:ascii="黑体" w:hAnsi="黑体" w:eastAsia="黑体" w:cs="黑体"/>
                <w:sz w:val="28"/>
                <w:szCs w:val="28"/>
                <w:lang w:val="en-US" w:eastAsia="zh-CN"/>
              </w:rPr>
              <w:t>材料</w:t>
            </w:r>
          </w:p>
        </w:tc>
        <w:tc>
          <w:tcPr>
            <w:tcW w:w="5381" w:type="dxa"/>
            <w:vMerge w:val="restart"/>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sz w:val="28"/>
                <w:szCs w:val="28"/>
              </w:rPr>
            </w:pPr>
            <w:r>
              <w:rPr>
                <w:rFonts w:hint="eastAsia" w:ascii="黑体" w:hAnsi="黑体" w:eastAsia="黑体" w:cs="黑体"/>
                <w:sz w:val="28"/>
                <w:szCs w:val="28"/>
              </w:rPr>
              <w:t>设定依据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sz w:val="28"/>
                <w:szCs w:val="28"/>
              </w:rPr>
            </w:pPr>
            <w:r>
              <w:rPr>
                <w:rFonts w:hint="eastAsia" w:ascii="黑体" w:hAnsi="黑体" w:eastAsia="黑体" w:cs="黑体"/>
                <w:sz w:val="28"/>
                <w:szCs w:val="28"/>
              </w:rPr>
              <w:t>（名称、文号</w:t>
            </w:r>
            <w:r>
              <w:rPr>
                <w:rFonts w:hint="eastAsia" w:ascii="黑体" w:hAnsi="黑体" w:eastAsia="黑体" w:cs="黑体"/>
                <w:sz w:val="28"/>
                <w:szCs w:val="28"/>
                <w:lang w:eastAsia="zh-CN"/>
              </w:rPr>
              <w:t>、条款</w:t>
            </w:r>
            <w:r>
              <w:rPr>
                <w:rFonts w:hint="eastAsia" w:ascii="黑体" w:hAnsi="黑体" w:eastAsia="黑体" w:cs="黑体"/>
                <w:sz w:val="28"/>
                <w:szCs w:val="28"/>
              </w:rPr>
              <w:t>）</w:t>
            </w:r>
          </w:p>
        </w:tc>
        <w:tc>
          <w:tcPr>
            <w:tcW w:w="2107" w:type="dxa"/>
            <w:gridSpan w:val="2"/>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sz w:val="28"/>
                <w:szCs w:val="28"/>
              </w:rPr>
            </w:pPr>
            <w:r>
              <w:rPr>
                <w:rFonts w:hint="eastAsia" w:ascii="黑体" w:hAnsi="黑体" w:eastAsia="黑体" w:cs="黑体"/>
                <w:sz w:val="28"/>
                <w:szCs w:val="28"/>
              </w:rPr>
              <w:t>清理意见</w:t>
            </w:r>
          </w:p>
        </w:tc>
        <w:tc>
          <w:tcPr>
            <w:tcW w:w="2159" w:type="dxa"/>
            <w:vMerge w:val="restart"/>
            <w:tcBorders>
              <w:top w:val="single" w:color="000000" w:sz="2" w:space="0"/>
              <w:left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是否适用告知承诺制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trPr>
        <w:tc>
          <w:tcPr>
            <w:tcW w:w="547" w:type="dxa"/>
            <w:vMerge w:val="continue"/>
            <w:tcBorders>
              <w:top w:val="single" w:color="000000" w:sz="2"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黑体" w:hAnsi="黑体" w:eastAsia="黑体" w:cs="黑体"/>
                <w:sz w:val="28"/>
                <w:szCs w:val="28"/>
              </w:rPr>
            </w:pPr>
          </w:p>
        </w:tc>
        <w:tc>
          <w:tcPr>
            <w:tcW w:w="1979" w:type="dxa"/>
            <w:vMerge w:val="continue"/>
            <w:tcBorders>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黑体" w:hAnsi="黑体" w:eastAsia="黑体" w:cs="黑体"/>
                <w:sz w:val="28"/>
                <w:szCs w:val="28"/>
              </w:rPr>
            </w:pPr>
          </w:p>
        </w:tc>
        <w:tc>
          <w:tcPr>
            <w:tcW w:w="1979" w:type="dxa"/>
            <w:vMerge w:val="continue"/>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黑体" w:hAnsi="黑体" w:eastAsia="黑体" w:cs="黑体"/>
                <w:sz w:val="28"/>
                <w:szCs w:val="28"/>
              </w:rPr>
            </w:pPr>
          </w:p>
        </w:tc>
        <w:tc>
          <w:tcPr>
            <w:tcW w:w="1981" w:type="dxa"/>
            <w:vMerge w:val="continue"/>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黑体" w:hAnsi="黑体" w:eastAsia="黑体" w:cs="黑体"/>
                <w:sz w:val="28"/>
                <w:szCs w:val="28"/>
              </w:rPr>
            </w:pPr>
          </w:p>
        </w:tc>
        <w:tc>
          <w:tcPr>
            <w:tcW w:w="5381" w:type="dxa"/>
            <w:vMerge w:val="continue"/>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黑体" w:hAnsi="黑体" w:eastAsia="黑体" w:cs="黑体"/>
                <w:sz w:val="28"/>
                <w:szCs w:val="28"/>
              </w:rPr>
            </w:pP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sz w:val="28"/>
                <w:szCs w:val="28"/>
                <w:lang w:eastAsia="zh-CN"/>
              </w:rPr>
            </w:pPr>
            <w:r>
              <w:rPr>
                <w:rFonts w:hint="eastAsia" w:ascii="黑体" w:hAnsi="黑体" w:eastAsia="黑体" w:cs="黑体"/>
                <w:sz w:val="28"/>
                <w:szCs w:val="28"/>
                <w:lang w:val="en-US" w:eastAsia="zh-CN"/>
              </w:rPr>
              <w:t>取消</w:t>
            </w:r>
          </w:p>
        </w:tc>
        <w:tc>
          <w:tcPr>
            <w:tcW w:w="1054" w:type="dxa"/>
            <w:tcBorders>
              <w:top w:val="single" w:color="000000" w:sz="2"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sz w:val="28"/>
                <w:szCs w:val="28"/>
              </w:rPr>
            </w:pPr>
            <w:r>
              <w:rPr>
                <w:rFonts w:hint="eastAsia" w:ascii="黑体" w:hAnsi="黑体" w:eastAsia="黑体" w:cs="黑体"/>
                <w:sz w:val="28"/>
                <w:szCs w:val="28"/>
              </w:rPr>
              <w:t>保留</w:t>
            </w:r>
          </w:p>
        </w:tc>
        <w:tc>
          <w:tcPr>
            <w:tcW w:w="2159" w:type="dxa"/>
            <w:vMerge w:val="continue"/>
            <w:tcBorders>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34" w:hRule="atLeast"/>
        </w:trPr>
        <w:tc>
          <w:tcPr>
            <w:tcW w:w="547"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p>
        </w:tc>
        <w:tc>
          <w:tcPr>
            <w:tcW w:w="1979" w:type="dxa"/>
            <w:vMerge w:val="restart"/>
            <w:tcBorders>
              <w:top w:val="single" w:color="auto" w:sz="4" w:space="0"/>
              <w:left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行政诉讼代理</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援助</w:t>
            </w:r>
          </w:p>
        </w:tc>
        <w:tc>
          <w:tcPr>
            <w:tcW w:w="1979" w:type="dxa"/>
            <w:vMerge w:val="restart"/>
            <w:tcBorders>
              <w:top w:val="single" w:color="000000" w:sz="2" w:space="0"/>
              <w:left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行政给付</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援助申请表</w:t>
            </w:r>
          </w:p>
        </w:tc>
        <w:tc>
          <w:tcPr>
            <w:tcW w:w="5381" w:type="dxa"/>
            <w:vMerge w:val="restart"/>
            <w:tcBorders>
              <w:top w:val="single" w:color="000000" w:sz="2" w:space="0"/>
              <w:left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1"/>
                <w:szCs w:val="21"/>
              </w:rPr>
              <w:t>《安徽省法律援助条例》第二十二条公民申请法律援助应当提交以下材料：（一）法律援助申请表；（二）有效身份证明，代理申请人还应当提交有代理权的证明； （三）乡（镇）人民政府、街道办事处出具的经济困难证明；（四）与法律援助事项相关的其他材料。</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仿宋" w:hAnsi="仿宋" w:eastAsia="仿宋" w:cs="仿宋"/>
                <w:sz w:val="28"/>
                <w:szCs w:val="28"/>
                <w:lang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34" w:hRule="atLeast"/>
        </w:trPr>
        <w:tc>
          <w:tcPr>
            <w:tcW w:w="547"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w:t>
            </w:r>
          </w:p>
        </w:tc>
        <w:tc>
          <w:tcPr>
            <w:tcW w:w="1979" w:type="dxa"/>
            <w:vMerge w:val="continue"/>
            <w:tcBorders>
              <w:left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979" w:type="dxa"/>
            <w:vMerge w:val="continue"/>
            <w:tcBorders>
              <w:left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居民身份证</w:t>
            </w:r>
          </w:p>
        </w:tc>
        <w:tc>
          <w:tcPr>
            <w:tcW w:w="5381" w:type="dxa"/>
            <w:vMerge w:val="continue"/>
            <w:tcBorders>
              <w:left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1"/>
                <w:szCs w:val="21"/>
              </w:rPr>
            </w:pP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val="en-US" w:eastAsia="zh-CN"/>
              </w:rPr>
            </w:pPr>
            <w:r>
              <w:rPr>
                <w:rFonts w:hint="eastAsia" w:ascii="Arial" w:hAnsi="Arial" w:eastAsia="仿宋" w:cs="Arial"/>
                <w:sz w:val="28"/>
                <w:szCs w:val="28"/>
                <w:lang w:val="en-US" w:eastAsia="zh-CN"/>
              </w:rPr>
              <w:t>取消</w:t>
            </w: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34" w:hRule="atLeast"/>
        </w:trPr>
        <w:tc>
          <w:tcPr>
            <w:tcW w:w="547"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w:t>
            </w:r>
          </w:p>
        </w:tc>
        <w:tc>
          <w:tcPr>
            <w:tcW w:w="1979" w:type="dxa"/>
            <w:vMerge w:val="continue"/>
            <w:tcBorders>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979" w:type="dxa"/>
            <w:vMerge w:val="continue"/>
            <w:tcBorders>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经济困难证明</w:t>
            </w:r>
          </w:p>
        </w:tc>
        <w:tc>
          <w:tcPr>
            <w:tcW w:w="5381" w:type="dxa"/>
            <w:vMerge w:val="continue"/>
            <w:tcBorders>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1"/>
                <w:szCs w:val="21"/>
              </w:rPr>
            </w:pP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仿宋" w:hAnsi="仿宋" w:eastAsia="仿宋" w:cs="仿宋"/>
                <w:sz w:val="28"/>
                <w:szCs w:val="28"/>
                <w:lang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34" w:hRule="atLeast"/>
        </w:trPr>
        <w:tc>
          <w:tcPr>
            <w:tcW w:w="547"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w:t>
            </w:r>
          </w:p>
        </w:tc>
        <w:tc>
          <w:tcPr>
            <w:tcW w:w="1979" w:type="dxa"/>
            <w:vMerge w:val="restart"/>
            <w:tcBorders>
              <w:top w:val="single" w:color="auto" w:sz="4" w:space="0"/>
              <w:left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基层法律服务所注销</w:t>
            </w:r>
          </w:p>
        </w:tc>
        <w:tc>
          <w:tcPr>
            <w:tcW w:w="1979" w:type="dxa"/>
            <w:vMerge w:val="restart"/>
            <w:tcBorders>
              <w:top w:val="single" w:color="000000" w:sz="2" w:space="0"/>
              <w:left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其他行政权力</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注销登记表</w:t>
            </w:r>
          </w:p>
        </w:tc>
        <w:tc>
          <w:tcPr>
            <w:tcW w:w="5381" w:type="dxa"/>
            <w:vMerge w:val="restart"/>
            <w:tcBorders>
              <w:top w:val="single" w:color="000000" w:sz="2" w:space="0"/>
              <w:left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《基层法律服务所管理办法》（司法部令第137号）第十二条: 基层法律服务所在终止事由发生后，应当向社会公告，按照有关规定进行清算，并不得受理新的业务。基层法律服务所应当在清算结束后十五日内，经所在地县级司法行政机关审查后报设区的市级司法行政机关办理注销手续，或者由直辖市的区（县）司法行政机关办理注销手续。基层法律服务所拒不履行公告、清算义务的，可以由县级司法行政机关向社会公告后报设区的市级司法行政机关办理注销手续，或者由直辖市的区（县）司法行政机关向社会公告后办理注销手续。</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仿宋" w:hAnsi="仿宋" w:eastAsia="仿宋" w:cs="仿宋"/>
                <w:sz w:val="28"/>
                <w:szCs w:val="28"/>
                <w:lang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34" w:hRule="atLeast"/>
        </w:trPr>
        <w:tc>
          <w:tcPr>
            <w:tcW w:w="547"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w:t>
            </w:r>
          </w:p>
        </w:tc>
        <w:tc>
          <w:tcPr>
            <w:tcW w:w="1979" w:type="dxa"/>
            <w:vMerge w:val="continue"/>
            <w:tcBorders>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979" w:type="dxa"/>
            <w:vMerge w:val="continue"/>
            <w:tcBorders>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distribute"/>
              <w:textAlignment w:val="auto"/>
              <w:rPr>
                <w:rFonts w:hint="eastAsia" w:ascii="仿宋_GB2312" w:hAnsi="仿宋_GB2312" w:eastAsia="仿宋_GB2312" w:cs="仿宋_GB2312"/>
                <w:sz w:val="28"/>
                <w:szCs w:val="28"/>
              </w:rPr>
            </w:pPr>
            <w:r>
              <w:rPr>
                <w:rFonts w:hint="eastAsia" w:ascii="仿宋_GB2312" w:hAnsi="仿宋_GB2312" w:eastAsia="仿宋_GB2312" w:cs="仿宋_GB2312"/>
                <w:w w:val="90"/>
                <w:sz w:val="28"/>
                <w:szCs w:val="28"/>
              </w:rPr>
              <w:t>档案交接、保管和未办结法律事务处理情况的报告</w:t>
            </w:r>
          </w:p>
        </w:tc>
        <w:tc>
          <w:tcPr>
            <w:tcW w:w="5381" w:type="dxa"/>
            <w:vMerge w:val="continue"/>
            <w:tcBorders>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1"/>
                <w:szCs w:val="21"/>
              </w:rPr>
            </w:pP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仿宋" w:hAnsi="仿宋" w:eastAsia="仿宋" w:cs="仿宋"/>
                <w:sz w:val="28"/>
                <w:szCs w:val="28"/>
                <w:lang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4" w:hRule="atLeast"/>
        </w:trPr>
        <w:tc>
          <w:tcPr>
            <w:tcW w:w="547" w:type="dxa"/>
            <w:vMerge w:val="restart"/>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sz w:val="28"/>
                <w:szCs w:val="28"/>
              </w:rPr>
            </w:pPr>
            <w:r>
              <w:rPr>
                <w:rFonts w:hint="eastAsia" w:ascii="黑体" w:hAnsi="黑体" w:eastAsia="黑体" w:cs="黑体"/>
                <w:sz w:val="28"/>
                <w:szCs w:val="28"/>
              </w:rPr>
              <w:t>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sz w:val="28"/>
                <w:szCs w:val="28"/>
              </w:rPr>
            </w:pPr>
            <w:r>
              <w:rPr>
                <w:rFonts w:hint="eastAsia" w:ascii="黑体" w:hAnsi="黑体" w:eastAsia="黑体" w:cs="黑体"/>
                <w:sz w:val="28"/>
                <w:szCs w:val="28"/>
              </w:rPr>
              <w:t>号</w:t>
            </w:r>
          </w:p>
        </w:tc>
        <w:tc>
          <w:tcPr>
            <w:tcW w:w="1979" w:type="dxa"/>
            <w:vMerge w:val="restart"/>
            <w:tcBorders>
              <w:top w:val="single" w:color="000000" w:sz="2" w:space="0"/>
              <w:left w:val="single" w:color="000000" w:sz="2" w:space="0"/>
              <w:right w:val="single" w:color="auto" w:sz="4"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服务事项</w:t>
            </w:r>
          </w:p>
        </w:tc>
        <w:tc>
          <w:tcPr>
            <w:tcW w:w="1979" w:type="dxa"/>
            <w:vMerge w:val="restart"/>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事项类型</w:t>
            </w:r>
          </w:p>
        </w:tc>
        <w:tc>
          <w:tcPr>
            <w:tcW w:w="1981" w:type="dxa"/>
            <w:vMerge w:val="restart"/>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黑体" w:hAnsi="黑体" w:eastAsia="黑体" w:cs="黑体"/>
                <w:sz w:val="28"/>
                <w:szCs w:val="28"/>
                <w:lang w:val="en-US" w:eastAsia="zh-CN"/>
              </w:rPr>
            </w:pPr>
            <w:r>
              <w:rPr>
                <w:rFonts w:hint="eastAsia" w:ascii="黑体" w:hAnsi="黑体" w:eastAsia="黑体" w:cs="黑体"/>
                <w:sz w:val="28"/>
                <w:szCs w:val="28"/>
              </w:rPr>
              <w:t>证明</w:t>
            </w:r>
            <w:r>
              <w:rPr>
                <w:rFonts w:hint="eastAsia" w:ascii="黑体" w:hAnsi="黑体" w:eastAsia="黑体" w:cs="黑体"/>
                <w:sz w:val="28"/>
                <w:szCs w:val="28"/>
                <w:lang w:val="en-US" w:eastAsia="zh-CN"/>
              </w:rPr>
              <w:t>材料</w:t>
            </w:r>
          </w:p>
        </w:tc>
        <w:tc>
          <w:tcPr>
            <w:tcW w:w="5381" w:type="dxa"/>
            <w:vMerge w:val="restart"/>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sz w:val="28"/>
                <w:szCs w:val="28"/>
              </w:rPr>
            </w:pPr>
            <w:r>
              <w:rPr>
                <w:rFonts w:hint="eastAsia" w:ascii="黑体" w:hAnsi="黑体" w:eastAsia="黑体" w:cs="黑体"/>
                <w:sz w:val="28"/>
                <w:szCs w:val="28"/>
              </w:rPr>
              <w:t>设定依据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sz w:val="28"/>
                <w:szCs w:val="28"/>
              </w:rPr>
            </w:pPr>
            <w:r>
              <w:rPr>
                <w:rFonts w:hint="eastAsia" w:ascii="黑体" w:hAnsi="黑体" w:eastAsia="黑体" w:cs="黑体"/>
                <w:sz w:val="28"/>
                <w:szCs w:val="28"/>
              </w:rPr>
              <w:t>（名称、文号</w:t>
            </w:r>
            <w:r>
              <w:rPr>
                <w:rFonts w:hint="eastAsia" w:ascii="黑体" w:hAnsi="黑体" w:eastAsia="黑体" w:cs="黑体"/>
                <w:sz w:val="28"/>
                <w:szCs w:val="28"/>
                <w:lang w:eastAsia="zh-CN"/>
              </w:rPr>
              <w:t>、条款</w:t>
            </w:r>
            <w:r>
              <w:rPr>
                <w:rFonts w:hint="eastAsia" w:ascii="黑体" w:hAnsi="黑体" w:eastAsia="黑体" w:cs="黑体"/>
                <w:sz w:val="28"/>
                <w:szCs w:val="28"/>
              </w:rPr>
              <w:t>）</w:t>
            </w:r>
          </w:p>
        </w:tc>
        <w:tc>
          <w:tcPr>
            <w:tcW w:w="2107" w:type="dxa"/>
            <w:gridSpan w:val="2"/>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sz w:val="28"/>
                <w:szCs w:val="28"/>
              </w:rPr>
            </w:pPr>
            <w:r>
              <w:rPr>
                <w:rFonts w:hint="eastAsia" w:ascii="黑体" w:hAnsi="黑体" w:eastAsia="黑体" w:cs="黑体"/>
                <w:sz w:val="28"/>
                <w:szCs w:val="28"/>
              </w:rPr>
              <w:t>清理意见</w:t>
            </w:r>
          </w:p>
        </w:tc>
        <w:tc>
          <w:tcPr>
            <w:tcW w:w="2159" w:type="dxa"/>
            <w:vMerge w:val="restart"/>
            <w:tcBorders>
              <w:top w:val="single" w:color="000000" w:sz="2" w:space="0"/>
              <w:left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是否适用告知承诺制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trPr>
        <w:tc>
          <w:tcPr>
            <w:tcW w:w="547" w:type="dxa"/>
            <w:vMerge w:val="continue"/>
            <w:tcBorders>
              <w:top w:val="single" w:color="000000" w:sz="2"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黑体" w:hAnsi="黑体" w:eastAsia="黑体" w:cs="黑体"/>
                <w:sz w:val="28"/>
                <w:szCs w:val="28"/>
              </w:rPr>
            </w:pPr>
          </w:p>
        </w:tc>
        <w:tc>
          <w:tcPr>
            <w:tcW w:w="1979" w:type="dxa"/>
            <w:vMerge w:val="continue"/>
            <w:tcBorders>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黑体" w:hAnsi="黑体" w:eastAsia="黑体" w:cs="黑体"/>
                <w:sz w:val="28"/>
                <w:szCs w:val="28"/>
              </w:rPr>
            </w:pPr>
          </w:p>
        </w:tc>
        <w:tc>
          <w:tcPr>
            <w:tcW w:w="1979" w:type="dxa"/>
            <w:vMerge w:val="continue"/>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黑体" w:hAnsi="黑体" w:eastAsia="黑体" w:cs="黑体"/>
                <w:sz w:val="28"/>
                <w:szCs w:val="28"/>
              </w:rPr>
            </w:pPr>
          </w:p>
        </w:tc>
        <w:tc>
          <w:tcPr>
            <w:tcW w:w="1981" w:type="dxa"/>
            <w:vMerge w:val="continue"/>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黑体" w:hAnsi="黑体" w:eastAsia="黑体" w:cs="黑体"/>
                <w:sz w:val="28"/>
                <w:szCs w:val="28"/>
              </w:rPr>
            </w:pPr>
          </w:p>
        </w:tc>
        <w:tc>
          <w:tcPr>
            <w:tcW w:w="5381" w:type="dxa"/>
            <w:vMerge w:val="continue"/>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黑体" w:hAnsi="黑体" w:eastAsia="黑体" w:cs="黑体"/>
                <w:sz w:val="28"/>
                <w:szCs w:val="28"/>
              </w:rPr>
            </w:pP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sz w:val="28"/>
                <w:szCs w:val="28"/>
                <w:lang w:eastAsia="zh-CN"/>
              </w:rPr>
            </w:pPr>
            <w:r>
              <w:rPr>
                <w:rFonts w:hint="eastAsia" w:ascii="黑体" w:hAnsi="黑体" w:eastAsia="黑体" w:cs="黑体"/>
                <w:sz w:val="28"/>
                <w:szCs w:val="28"/>
                <w:lang w:val="en-US" w:eastAsia="zh-CN"/>
              </w:rPr>
              <w:t>取消</w:t>
            </w:r>
          </w:p>
        </w:tc>
        <w:tc>
          <w:tcPr>
            <w:tcW w:w="1054" w:type="dxa"/>
            <w:tcBorders>
              <w:top w:val="single" w:color="000000" w:sz="2"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sz w:val="28"/>
                <w:szCs w:val="28"/>
              </w:rPr>
            </w:pPr>
            <w:r>
              <w:rPr>
                <w:rFonts w:hint="eastAsia" w:ascii="黑体" w:hAnsi="黑体" w:eastAsia="黑体" w:cs="黑体"/>
                <w:sz w:val="28"/>
                <w:szCs w:val="28"/>
              </w:rPr>
              <w:t>保留</w:t>
            </w:r>
          </w:p>
        </w:tc>
        <w:tc>
          <w:tcPr>
            <w:tcW w:w="2159" w:type="dxa"/>
            <w:vMerge w:val="continue"/>
            <w:tcBorders>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4" w:hRule="atLeast"/>
        </w:trPr>
        <w:tc>
          <w:tcPr>
            <w:tcW w:w="547"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w:t>
            </w:r>
          </w:p>
        </w:tc>
        <w:tc>
          <w:tcPr>
            <w:tcW w:w="1979" w:type="dxa"/>
            <w:vMerge w:val="restart"/>
            <w:tcBorders>
              <w:top w:val="single" w:color="auto" w:sz="4" w:space="0"/>
              <w:left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基层法律服务所变更法定代表人或者负责人</w:t>
            </w:r>
          </w:p>
        </w:tc>
        <w:tc>
          <w:tcPr>
            <w:tcW w:w="1979" w:type="dxa"/>
            <w:vMerge w:val="restart"/>
            <w:tcBorders>
              <w:top w:val="single" w:color="000000" w:sz="2" w:space="0"/>
              <w:left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其他行政权力</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distribute"/>
              <w:textAlignment w:val="auto"/>
              <w:rPr>
                <w:rFonts w:hint="eastAsia" w:ascii="仿宋_GB2312" w:hAnsi="仿宋_GB2312" w:eastAsia="仿宋_GB2312" w:cs="仿宋_GB2312"/>
                <w:sz w:val="28"/>
                <w:szCs w:val="28"/>
              </w:rPr>
            </w:pPr>
            <w:r>
              <w:rPr>
                <w:rFonts w:hint="eastAsia" w:ascii="仿宋_GB2312" w:hAnsi="仿宋_GB2312" w:eastAsia="仿宋_GB2312" w:cs="仿宋_GB2312"/>
                <w:w w:val="80"/>
                <w:sz w:val="28"/>
                <w:szCs w:val="28"/>
              </w:rPr>
              <w:t>负责人变更登记表</w:t>
            </w:r>
          </w:p>
        </w:tc>
        <w:tc>
          <w:tcPr>
            <w:tcW w:w="5381" w:type="dxa"/>
            <w:vMerge w:val="restart"/>
            <w:tcBorders>
              <w:top w:val="single" w:color="000000" w:sz="2" w:space="0"/>
              <w:left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基层法律服务所管理办法》（司法部令第137号）第十条：基层法律服务所变更名称、法定代表人或者负责人、合伙人、住所和修改章程的，应当由所在地县级司法行政机关审查同意后报设区的市级司法行政机关批准，或者由直辖市的区（县）司法行政机关批准。</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仿宋" w:hAnsi="仿宋" w:eastAsia="仿宋" w:cs="仿宋"/>
                <w:sz w:val="28"/>
                <w:szCs w:val="28"/>
                <w:lang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4" w:hRule="atLeast"/>
        </w:trPr>
        <w:tc>
          <w:tcPr>
            <w:tcW w:w="547"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w:t>
            </w:r>
          </w:p>
        </w:tc>
        <w:tc>
          <w:tcPr>
            <w:tcW w:w="1979" w:type="dxa"/>
            <w:vMerge w:val="continue"/>
            <w:tcBorders>
              <w:left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979" w:type="dxa"/>
            <w:vMerge w:val="continue"/>
            <w:tcBorders>
              <w:left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关于变更负责人的会议决议</w:t>
            </w:r>
          </w:p>
        </w:tc>
        <w:tc>
          <w:tcPr>
            <w:tcW w:w="5381" w:type="dxa"/>
            <w:vMerge w:val="continue"/>
            <w:tcBorders>
              <w:left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1"/>
                <w:szCs w:val="21"/>
              </w:rPr>
            </w:pP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仿宋" w:hAnsi="仿宋" w:eastAsia="仿宋" w:cs="仿宋"/>
                <w:sz w:val="28"/>
                <w:szCs w:val="28"/>
                <w:lang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4" w:hRule="atLeast"/>
        </w:trPr>
        <w:tc>
          <w:tcPr>
            <w:tcW w:w="547"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w:t>
            </w:r>
          </w:p>
        </w:tc>
        <w:tc>
          <w:tcPr>
            <w:tcW w:w="1979" w:type="dxa"/>
            <w:vMerge w:val="continue"/>
            <w:tcBorders>
              <w:left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979" w:type="dxa"/>
            <w:vMerge w:val="continue"/>
            <w:tcBorders>
              <w:left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distribute"/>
              <w:textAlignment w:val="auto"/>
              <w:rPr>
                <w:rFonts w:hint="eastAsia" w:ascii="仿宋_GB2312" w:hAnsi="仿宋_GB2312" w:eastAsia="仿宋_GB2312" w:cs="仿宋_GB2312"/>
                <w:sz w:val="28"/>
                <w:szCs w:val="28"/>
              </w:rPr>
            </w:pPr>
            <w:r>
              <w:rPr>
                <w:rFonts w:hint="eastAsia" w:ascii="仿宋_GB2312" w:hAnsi="仿宋_GB2312" w:eastAsia="仿宋_GB2312" w:cs="仿宋_GB2312"/>
                <w:w w:val="80"/>
                <w:sz w:val="28"/>
                <w:szCs w:val="28"/>
              </w:rPr>
              <w:t>负责人变更申请书</w:t>
            </w:r>
          </w:p>
        </w:tc>
        <w:tc>
          <w:tcPr>
            <w:tcW w:w="5381" w:type="dxa"/>
            <w:vMerge w:val="continue"/>
            <w:tcBorders>
              <w:left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1"/>
                <w:szCs w:val="21"/>
              </w:rPr>
            </w:pP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仿宋" w:hAnsi="仿宋" w:eastAsia="仿宋" w:cs="仿宋"/>
                <w:sz w:val="28"/>
                <w:szCs w:val="28"/>
                <w:lang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4" w:hRule="atLeast"/>
        </w:trPr>
        <w:tc>
          <w:tcPr>
            <w:tcW w:w="547"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w:t>
            </w:r>
          </w:p>
        </w:tc>
        <w:tc>
          <w:tcPr>
            <w:tcW w:w="1979" w:type="dxa"/>
            <w:vMerge w:val="continue"/>
            <w:tcBorders>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979" w:type="dxa"/>
            <w:vMerge w:val="continue"/>
            <w:tcBorders>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居民身份证</w:t>
            </w:r>
          </w:p>
        </w:tc>
        <w:tc>
          <w:tcPr>
            <w:tcW w:w="5381" w:type="dxa"/>
            <w:vMerge w:val="continue"/>
            <w:tcBorders>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1"/>
                <w:szCs w:val="21"/>
              </w:rPr>
            </w:pP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val="en-US" w:eastAsia="zh-CN"/>
              </w:rPr>
            </w:pPr>
            <w:r>
              <w:rPr>
                <w:rFonts w:hint="eastAsia" w:ascii="Arial" w:hAnsi="Arial" w:eastAsia="仿宋" w:cs="Arial"/>
                <w:sz w:val="28"/>
                <w:szCs w:val="28"/>
                <w:lang w:val="en-US" w:eastAsia="zh-CN"/>
              </w:rPr>
              <w:t>取消</w:t>
            </w: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4" w:hRule="atLeast"/>
        </w:trPr>
        <w:tc>
          <w:tcPr>
            <w:tcW w:w="547"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13</w:t>
            </w:r>
          </w:p>
        </w:tc>
        <w:tc>
          <w:tcPr>
            <w:tcW w:w="1979" w:type="dxa"/>
            <w:vMerge w:val="restart"/>
            <w:tcBorders>
              <w:top w:val="single" w:color="auto" w:sz="4" w:space="0"/>
              <w:left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sz w:val="28"/>
                <w:szCs w:val="28"/>
              </w:rPr>
              <w:t>基层法律服务所修改章程</w:t>
            </w:r>
          </w:p>
        </w:tc>
        <w:tc>
          <w:tcPr>
            <w:tcW w:w="1979" w:type="dxa"/>
            <w:vMerge w:val="restart"/>
            <w:tcBorders>
              <w:top w:val="single" w:color="000000" w:sz="2" w:space="0"/>
              <w:left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sz w:val="28"/>
                <w:szCs w:val="28"/>
              </w:rPr>
              <w:t>其他行政权力</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sz w:val="28"/>
                <w:szCs w:val="28"/>
              </w:rPr>
              <w:t>修改章程申请</w:t>
            </w:r>
          </w:p>
        </w:tc>
        <w:tc>
          <w:tcPr>
            <w:tcW w:w="5381" w:type="dxa"/>
            <w:vMerge w:val="restart"/>
            <w:tcBorders>
              <w:top w:val="single" w:color="000000" w:sz="2" w:space="0"/>
              <w:left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sz w:val="21"/>
                <w:szCs w:val="21"/>
              </w:rPr>
              <w:t>《基层法律服务所管理办法》（司法部令第137号）第十条：基层法律服务所变更名称、法定代表人或者负责人、合伙人、住所和修改章程的，应当由所在地县级司法行政机关审查同意后报设区的市级司法行政机关批准，或者由直辖市的区（县）司法行政机关批准。</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仿宋_GB2312" w:hAnsi="仿宋_GB2312" w:eastAsia="仿宋_GB2312" w:cs="仿宋_GB2312"/>
                <w:color w:val="auto"/>
                <w:kern w:val="0"/>
                <w:sz w:val="28"/>
                <w:szCs w:val="28"/>
                <w:lang w:val="en-US" w:eastAsia="zh-CN" w:bidi="ar"/>
              </w:rPr>
            </w:pPr>
            <w:r>
              <w:rPr>
                <w:rFonts w:hint="eastAsia" w:ascii="Arial" w:hAnsi="Arial" w:eastAsia="仿宋" w:cs="Arial"/>
                <w:sz w:val="28"/>
                <w:szCs w:val="28"/>
                <w:lang w:val="en-US" w:eastAsia="zh-CN"/>
              </w:rPr>
              <w:t>取消</w:t>
            </w: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仿宋_GB2312" w:hAnsi="仿宋_GB2312" w:eastAsia="仿宋_GB2312" w:cs="仿宋_GB2312"/>
                <w:color w:val="auto"/>
                <w:kern w:val="0"/>
                <w:sz w:val="28"/>
                <w:szCs w:val="28"/>
                <w:lang w:val="en-US" w:eastAsia="zh-CN" w:bidi="ar"/>
              </w:rPr>
            </w:pP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4" w:hRule="atLeast"/>
        </w:trPr>
        <w:tc>
          <w:tcPr>
            <w:tcW w:w="547"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14</w:t>
            </w:r>
          </w:p>
        </w:tc>
        <w:tc>
          <w:tcPr>
            <w:tcW w:w="1979" w:type="dxa"/>
            <w:vMerge w:val="continue"/>
            <w:tcBorders>
              <w:left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979" w:type="dxa"/>
            <w:vMerge w:val="continue"/>
            <w:tcBorders>
              <w:left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变更后的章程</w:t>
            </w:r>
          </w:p>
        </w:tc>
        <w:tc>
          <w:tcPr>
            <w:tcW w:w="5381" w:type="dxa"/>
            <w:vMerge w:val="continue"/>
            <w:tcBorders>
              <w:left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1"/>
                <w:szCs w:val="21"/>
              </w:rPr>
            </w:pP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仿宋" w:hAnsi="仿宋" w:eastAsia="仿宋" w:cs="仿宋"/>
                <w:sz w:val="28"/>
                <w:szCs w:val="28"/>
                <w:lang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547"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15</w:t>
            </w:r>
          </w:p>
        </w:tc>
        <w:tc>
          <w:tcPr>
            <w:tcW w:w="1979" w:type="dxa"/>
            <w:vMerge w:val="continue"/>
            <w:tcBorders>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979" w:type="dxa"/>
            <w:vMerge w:val="continue"/>
            <w:tcBorders>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按原章程规定的程序形成的同意变更章程的决议</w:t>
            </w:r>
          </w:p>
        </w:tc>
        <w:tc>
          <w:tcPr>
            <w:tcW w:w="5381" w:type="dxa"/>
            <w:vMerge w:val="continue"/>
            <w:tcBorders>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1"/>
                <w:szCs w:val="21"/>
              </w:rPr>
            </w:pP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仿宋" w:hAnsi="仿宋" w:eastAsia="仿宋" w:cs="仿宋"/>
                <w:sz w:val="28"/>
                <w:szCs w:val="28"/>
                <w:lang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4" w:hRule="atLeast"/>
        </w:trPr>
        <w:tc>
          <w:tcPr>
            <w:tcW w:w="547" w:type="dxa"/>
            <w:vMerge w:val="restart"/>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sz w:val="28"/>
                <w:szCs w:val="28"/>
              </w:rPr>
            </w:pPr>
            <w:r>
              <w:rPr>
                <w:rFonts w:hint="eastAsia" w:ascii="黑体" w:hAnsi="黑体" w:eastAsia="黑体" w:cs="黑体"/>
                <w:sz w:val="28"/>
                <w:szCs w:val="28"/>
              </w:rPr>
              <w:t>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sz w:val="28"/>
                <w:szCs w:val="28"/>
              </w:rPr>
            </w:pPr>
            <w:r>
              <w:rPr>
                <w:rFonts w:hint="eastAsia" w:ascii="黑体" w:hAnsi="黑体" w:eastAsia="黑体" w:cs="黑体"/>
                <w:sz w:val="28"/>
                <w:szCs w:val="28"/>
              </w:rPr>
              <w:t>号</w:t>
            </w:r>
          </w:p>
        </w:tc>
        <w:tc>
          <w:tcPr>
            <w:tcW w:w="1979" w:type="dxa"/>
            <w:vMerge w:val="restart"/>
            <w:tcBorders>
              <w:top w:val="single" w:color="000000" w:sz="2" w:space="0"/>
              <w:left w:val="single" w:color="000000" w:sz="2" w:space="0"/>
              <w:right w:val="single" w:color="auto" w:sz="4"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服务事项</w:t>
            </w:r>
          </w:p>
        </w:tc>
        <w:tc>
          <w:tcPr>
            <w:tcW w:w="1979" w:type="dxa"/>
            <w:vMerge w:val="restart"/>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事项类型</w:t>
            </w:r>
          </w:p>
        </w:tc>
        <w:tc>
          <w:tcPr>
            <w:tcW w:w="1981" w:type="dxa"/>
            <w:vMerge w:val="restart"/>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黑体" w:hAnsi="黑体" w:eastAsia="黑体" w:cs="黑体"/>
                <w:sz w:val="28"/>
                <w:szCs w:val="28"/>
                <w:lang w:val="en-US" w:eastAsia="zh-CN"/>
              </w:rPr>
            </w:pPr>
            <w:r>
              <w:rPr>
                <w:rFonts w:hint="eastAsia" w:ascii="黑体" w:hAnsi="黑体" w:eastAsia="黑体" w:cs="黑体"/>
                <w:sz w:val="28"/>
                <w:szCs w:val="28"/>
              </w:rPr>
              <w:t>证明</w:t>
            </w:r>
            <w:r>
              <w:rPr>
                <w:rFonts w:hint="eastAsia" w:ascii="黑体" w:hAnsi="黑体" w:eastAsia="黑体" w:cs="黑体"/>
                <w:sz w:val="28"/>
                <w:szCs w:val="28"/>
                <w:lang w:val="en-US" w:eastAsia="zh-CN"/>
              </w:rPr>
              <w:t>材料</w:t>
            </w:r>
          </w:p>
        </w:tc>
        <w:tc>
          <w:tcPr>
            <w:tcW w:w="5381" w:type="dxa"/>
            <w:vMerge w:val="restart"/>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sz w:val="28"/>
                <w:szCs w:val="28"/>
              </w:rPr>
            </w:pPr>
            <w:r>
              <w:rPr>
                <w:rFonts w:hint="eastAsia" w:ascii="黑体" w:hAnsi="黑体" w:eastAsia="黑体" w:cs="黑体"/>
                <w:sz w:val="28"/>
                <w:szCs w:val="28"/>
              </w:rPr>
              <w:t>设定依据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sz w:val="28"/>
                <w:szCs w:val="28"/>
              </w:rPr>
            </w:pPr>
            <w:r>
              <w:rPr>
                <w:rFonts w:hint="eastAsia" w:ascii="黑体" w:hAnsi="黑体" w:eastAsia="黑体" w:cs="黑体"/>
                <w:sz w:val="28"/>
                <w:szCs w:val="28"/>
              </w:rPr>
              <w:t>（名称、文号</w:t>
            </w:r>
            <w:r>
              <w:rPr>
                <w:rFonts w:hint="eastAsia" w:ascii="黑体" w:hAnsi="黑体" w:eastAsia="黑体" w:cs="黑体"/>
                <w:sz w:val="28"/>
                <w:szCs w:val="28"/>
                <w:lang w:eastAsia="zh-CN"/>
              </w:rPr>
              <w:t>、条款</w:t>
            </w:r>
            <w:r>
              <w:rPr>
                <w:rFonts w:hint="eastAsia" w:ascii="黑体" w:hAnsi="黑体" w:eastAsia="黑体" w:cs="黑体"/>
                <w:sz w:val="28"/>
                <w:szCs w:val="28"/>
              </w:rPr>
              <w:t>）</w:t>
            </w:r>
          </w:p>
        </w:tc>
        <w:tc>
          <w:tcPr>
            <w:tcW w:w="2107" w:type="dxa"/>
            <w:gridSpan w:val="2"/>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sz w:val="28"/>
                <w:szCs w:val="28"/>
              </w:rPr>
            </w:pPr>
            <w:r>
              <w:rPr>
                <w:rFonts w:hint="eastAsia" w:ascii="黑体" w:hAnsi="黑体" w:eastAsia="黑体" w:cs="黑体"/>
                <w:sz w:val="28"/>
                <w:szCs w:val="28"/>
              </w:rPr>
              <w:t>清理意见</w:t>
            </w:r>
          </w:p>
        </w:tc>
        <w:tc>
          <w:tcPr>
            <w:tcW w:w="2159" w:type="dxa"/>
            <w:vMerge w:val="restart"/>
            <w:tcBorders>
              <w:top w:val="single" w:color="000000" w:sz="2" w:space="0"/>
              <w:left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是否适用告知承诺制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trPr>
        <w:tc>
          <w:tcPr>
            <w:tcW w:w="547" w:type="dxa"/>
            <w:vMerge w:val="continue"/>
            <w:tcBorders>
              <w:top w:val="single" w:color="000000" w:sz="2"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黑体" w:hAnsi="黑体" w:eastAsia="黑体" w:cs="黑体"/>
                <w:sz w:val="28"/>
                <w:szCs w:val="28"/>
              </w:rPr>
            </w:pPr>
          </w:p>
        </w:tc>
        <w:tc>
          <w:tcPr>
            <w:tcW w:w="1979" w:type="dxa"/>
            <w:vMerge w:val="continue"/>
            <w:tcBorders>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黑体" w:hAnsi="黑体" w:eastAsia="黑体" w:cs="黑体"/>
                <w:sz w:val="28"/>
                <w:szCs w:val="28"/>
              </w:rPr>
            </w:pPr>
          </w:p>
        </w:tc>
        <w:tc>
          <w:tcPr>
            <w:tcW w:w="1979" w:type="dxa"/>
            <w:vMerge w:val="continue"/>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黑体" w:hAnsi="黑体" w:eastAsia="黑体" w:cs="黑体"/>
                <w:sz w:val="28"/>
                <w:szCs w:val="28"/>
              </w:rPr>
            </w:pPr>
          </w:p>
        </w:tc>
        <w:tc>
          <w:tcPr>
            <w:tcW w:w="1981" w:type="dxa"/>
            <w:vMerge w:val="continue"/>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黑体" w:hAnsi="黑体" w:eastAsia="黑体" w:cs="黑体"/>
                <w:sz w:val="28"/>
                <w:szCs w:val="28"/>
              </w:rPr>
            </w:pPr>
          </w:p>
        </w:tc>
        <w:tc>
          <w:tcPr>
            <w:tcW w:w="5381" w:type="dxa"/>
            <w:vMerge w:val="continue"/>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黑体" w:hAnsi="黑体" w:eastAsia="黑体" w:cs="黑体"/>
                <w:sz w:val="28"/>
                <w:szCs w:val="28"/>
              </w:rPr>
            </w:pP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sz w:val="28"/>
                <w:szCs w:val="28"/>
                <w:lang w:eastAsia="zh-CN"/>
              </w:rPr>
            </w:pPr>
            <w:r>
              <w:rPr>
                <w:rFonts w:hint="eastAsia" w:ascii="黑体" w:hAnsi="黑体" w:eastAsia="黑体" w:cs="黑体"/>
                <w:sz w:val="28"/>
                <w:szCs w:val="28"/>
                <w:lang w:val="en-US" w:eastAsia="zh-CN"/>
              </w:rPr>
              <w:t>取消</w:t>
            </w:r>
          </w:p>
        </w:tc>
        <w:tc>
          <w:tcPr>
            <w:tcW w:w="1054" w:type="dxa"/>
            <w:tcBorders>
              <w:top w:val="single" w:color="000000" w:sz="2"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sz w:val="28"/>
                <w:szCs w:val="28"/>
              </w:rPr>
            </w:pPr>
            <w:r>
              <w:rPr>
                <w:rFonts w:hint="eastAsia" w:ascii="黑体" w:hAnsi="黑体" w:eastAsia="黑体" w:cs="黑体"/>
                <w:sz w:val="28"/>
                <w:szCs w:val="28"/>
              </w:rPr>
              <w:t>保留</w:t>
            </w:r>
          </w:p>
        </w:tc>
        <w:tc>
          <w:tcPr>
            <w:tcW w:w="2159" w:type="dxa"/>
            <w:vMerge w:val="continue"/>
            <w:tcBorders>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4" w:hRule="atLeast"/>
        </w:trPr>
        <w:tc>
          <w:tcPr>
            <w:tcW w:w="547"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16</w:t>
            </w:r>
          </w:p>
        </w:tc>
        <w:tc>
          <w:tcPr>
            <w:tcW w:w="1979" w:type="dxa"/>
            <w:vMerge w:val="restart"/>
            <w:tcBorders>
              <w:top w:val="single" w:color="auto" w:sz="4" w:space="0"/>
              <w:left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基层法律服务所变更住所</w:t>
            </w:r>
          </w:p>
        </w:tc>
        <w:tc>
          <w:tcPr>
            <w:tcW w:w="1979" w:type="dxa"/>
            <w:vMerge w:val="restart"/>
            <w:tcBorders>
              <w:top w:val="single" w:color="000000" w:sz="2" w:space="0"/>
              <w:left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其他行政权力</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w w:val="90"/>
                <w:sz w:val="28"/>
                <w:szCs w:val="28"/>
              </w:rPr>
              <w:t>住所变更登记表</w:t>
            </w:r>
          </w:p>
        </w:tc>
        <w:tc>
          <w:tcPr>
            <w:tcW w:w="5381" w:type="dxa"/>
            <w:vMerge w:val="restart"/>
            <w:tcBorders>
              <w:top w:val="single" w:color="000000" w:sz="2" w:space="0"/>
              <w:left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基层法律服务所管理办法》（司法部令第137号）第十条：基层法律服务所变更名称、法定代表人或者负责人、合伙人、住所和修改章程的，应当由所在地县级司法行政机关审查同意后报设区的市级司法行政机关批准，或者由直辖市的区（县）司法行政机关批准。</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仿宋" w:hAnsi="仿宋" w:eastAsia="仿宋" w:cs="仿宋"/>
                <w:sz w:val="28"/>
                <w:szCs w:val="28"/>
                <w:lang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4" w:hRule="atLeast"/>
        </w:trPr>
        <w:tc>
          <w:tcPr>
            <w:tcW w:w="547"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17</w:t>
            </w:r>
          </w:p>
        </w:tc>
        <w:tc>
          <w:tcPr>
            <w:tcW w:w="1979" w:type="dxa"/>
            <w:vMerge w:val="continue"/>
            <w:tcBorders>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979" w:type="dxa"/>
            <w:vMerge w:val="continue"/>
            <w:tcBorders>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w w:val="90"/>
                <w:sz w:val="28"/>
                <w:szCs w:val="28"/>
              </w:rPr>
              <w:t>执业许可证副本</w:t>
            </w:r>
          </w:p>
        </w:tc>
        <w:tc>
          <w:tcPr>
            <w:tcW w:w="5381" w:type="dxa"/>
            <w:vMerge w:val="continue"/>
            <w:tcBorders>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1"/>
                <w:szCs w:val="21"/>
              </w:rPr>
            </w:pP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val="en-US" w:eastAsia="zh-CN"/>
              </w:rPr>
            </w:pPr>
            <w:r>
              <w:rPr>
                <w:rFonts w:hint="eastAsia" w:ascii="Arial" w:hAnsi="Arial" w:eastAsia="仿宋" w:cs="Arial"/>
                <w:sz w:val="28"/>
                <w:szCs w:val="28"/>
                <w:lang w:val="en-US" w:eastAsia="zh-CN"/>
              </w:rPr>
              <w:t>取消</w:t>
            </w: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4" w:hRule="atLeast"/>
        </w:trPr>
        <w:tc>
          <w:tcPr>
            <w:tcW w:w="547"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18</w:t>
            </w:r>
          </w:p>
        </w:tc>
        <w:tc>
          <w:tcPr>
            <w:tcW w:w="1979" w:type="dxa"/>
            <w:vMerge w:val="restart"/>
            <w:tcBorders>
              <w:top w:val="single" w:color="auto" w:sz="4" w:space="0"/>
              <w:left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基层法律服务所变更合伙人</w:t>
            </w:r>
          </w:p>
        </w:tc>
        <w:tc>
          <w:tcPr>
            <w:tcW w:w="1979" w:type="dxa"/>
            <w:vMerge w:val="restart"/>
            <w:tcBorders>
              <w:top w:val="single" w:color="000000" w:sz="2" w:space="0"/>
              <w:left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其他行政权力</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w w:val="80"/>
                <w:sz w:val="28"/>
                <w:szCs w:val="28"/>
              </w:rPr>
              <w:t>合伙人变更登记表</w:t>
            </w:r>
          </w:p>
        </w:tc>
        <w:tc>
          <w:tcPr>
            <w:tcW w:w="5381" w:type="dxa"/>
            <w:vMerge w:val="restart"/>
            <w:tcBorders>
              <w:top w:val="single" w:color="000000" w:sz="2" w:space="0"/>
              <w:left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基层法律服务所管理办法》（司法部令第137号）第十条：基层法律服务所变更名称、法定代表人或者负责人、合伙人、住所和修改章程的，应当由所在地县级司法行政机关审查同意后报设区的市级司法行政机关批准，或者由直辖市的区（县）司法行政机关批准。</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仿宋" w:hAnsi="仿宋" w:eastAsia="仿宋" w:cs="仿宋"/>
                <w:sz w:val="28"/>
                <w:szCs w:val="28"/>
                <w:lang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4" w:hRule="atLeast"/>
        </w:trPr>
        <w:tc>
          <w:tcPr>
            <w:tcW w:w="547"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19</w:t>
            </w:r>
          </w:p>
        </w:tc>
        <w:tc>
          <w:tcPr>
            <w:tcW w:w="1979" w:type="dxa"/>
            <w:vMerge w:val="continue"/>
            <w:tcBorders>
              <w:left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979" w:type="dxa"/>
            <w:vMerge w:val="continue"/>
            <w:tcBorders>
              <w:left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居民身份证</w:t>
            </w:r>
          </w:p>
        </w:tc>
        <w:tc>
          <w:tcPr>
            <w:tcW w:w="5381" w:type="dxa"/>
            <w:vMerge w:val="continue"/>
            <w:tcBorders>
              <w:left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1"/>
                <w:szCs w:val="21"/>
              </w:rPr>
            </w:pP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val="en-US" w:eastAsia="zh-CN"/>
              </w:rPr>
            </w:pPr>
            <w:r>
              <w:rPr>
                <w:rFonts w:hint="eastAsia" w:ascii="Arial" w:hAnsi="Arial" w:eastAsia="仿宋" w:cs="Arial"/>
                <w:sz w:val="28"/>
                <w:szCs w:val="28"/>
                <w:lang w:val="en-US" w:eastAsia="zh-CN"/>
              </w:rPr>
              <w:t>取消</w:t>
            </w: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4" w:hRule="atLeast"/>
        </w:trPr>
        <w:tc>
          <w:tcPr>
            <w:tcW w:w="547"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w:t>
            </w:r>
          </w:p>
        </w:tc>
        <w:tc>
          <w:tcPr>
            <w:tcW w:w="1979" w:type="dxa"/>
            <w:vMerge w:val="continue"/>
            <w:tcBorders>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979" w:type="dxa"/>
            <w:vMerge w:val="continue"/>
            <w:tcBorders>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w w:val="90"/>
                <w:sz w:val="28"/>
                <w:szCs w:val="28"/>
              </w:rPr>
              <w:t>执业许可证副本</w:t>
            </w:r>
          </w:p>
        </w:tc>
        <w:tc>
          <w:tcPr>
            <w:tcW w:w="5381" w:type="dxa"/>
            <w:vMerge w:val="continue"/>
            <w:tcBorders>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1"/>
                <w:szCs w:val="21"/>
              </w:rPr>
            </w:pP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val="en-US" w:eastAsia="zh-CN"/>
              </w:rPr>
            </w:pPr>
            <w:r>
              <w:rPr>
                <w:rFonts w:hint="eastAsia" w:ascii="Arial" w:hAnsi="Arial" w:eastAsia="仿宋" w:cs="Arial"/>
                <w:sz w:val="28"/>
                <w:szCs w:val="28"/>
                <w:lang w:val="en-US" w:eastAsia="zh-CN"/>
              </w:rPr>
              <w:t>取消</w:t>
            </w: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trPr>
        <w:tc>
          <w:tcPr>
            <w:tcW w:w="547"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21</w:t>
            </w:r>
          </w:p>
        </w:tc>
        <w:tc>
          <w:tcPr>
            <w:tcW w:w="1979" w:type="dxa"/>
            <w:vMerge w:val="restart"/>
            <w:tcBorders>
              <w:top w:val="single" w:color="auto" w:sz="4" w:space="0"/>
              <w:left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基层法律服务工作者执业证损坏换发</w:t>
            </w:r>
          </w:p>
        </w:tc>
        <w:tc>
          <w:tcPr>
            <w:tcW w:w="1979" w:type="dxa"/>
            <w:vMerge w:val="restart"/>
            <w:tcBorders>
              <w:top w:val="single" w:color="000000" w:sz="2" w:space="0"/>
              <w:left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其他事项</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基层法律服务工作者申请更换补发执业证登记表</w:t>
            </w:r>
          </w:p>
        </w:tc>
        <w:tc>
          <w:tcPr>
            <w:tcW w:w="5381" w:type="dxa"/>
            <w:vMerge w:val="restart"/>
            <w:tcBorders>
              <w:top w:val="single" w:color="000000" w:sz="2" w:space="0"/>
              <w:left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《基层法律服务工作者管理办法》（司法部令第138号）第十七条：</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《基层法律服务工作者执业证》遗失或者损坏无法使用的，持证人应当立即向所在地县级司法行政机关或者直辖市的区（县）司法行政机关申请办理补发或更换手续。</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仿宋" w:hAnsi="仿宋" w:eastAsia="仿宋" w:cs="仿宋"/>
                <w:sz w:val="28"/>
                <w:szCs w:val="28"/>
                <w:lang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trPr>
        <w:tc>
          <w:tcPr>
            <w:tcW w:w="547"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22</w:t>
            </w:r>
          </w:p>
        </w:tc>
        <w:tc>
          <w:tcPr>
            <w:tcW w:w="1979" w:type="dxa"/>
            <w:vMerge w:val="continue"/>
            <w:tcBorders>
              <w:left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979" w:type="dxa"/>
            <w:vMerge w:val="continue"/>
            <w:tcBorders>
              <w:left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居民身份证</w:t>
            </w:r>
          </w:p>
        </w:tc>
        <w:tc>
          <w:tcPr>
            <w:tcW w:w="5381" w:type="dxa"/>
            <w:vMerge w:val="continue"/>
            <w:tcBorders>
              <w:left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1"/>
                <w:szCs w:val="21"/>
              </w:rPr>
            </w:pP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val="en-US" w:eastAsia="zh-CN"/>
              </w:rPr>
            </w:pPr>
            <w:r>
              <w:rPr>
                <w:rFonts w:hint="eastAsia" w:ascii="Arial" w:hAnsi="Arial" w:eastAsia="仿宋" w:cs="Arial"/>
                <w:sz w:val="28"/>
                <w:szCs w:val="28"/>
                <w:lang w:val="en-US" w:eastAsia="zh-CN"/>
              </w:rPr>
              <w:t>取消</w:t>
            </w: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trPr>
        <w:tc>
          <w:tcPr>
            <w:tcW w:w="547"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23</w:t>
            </w:r>
          </w:p>
        </w:tc>
        <w:tc>
          <w:tcPr>
            <w:tcW w:w="1979" w:type="dxa"/>
            <w:vMerge w:val="continue"/>
            <w:tcBorders>
              <w:left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979" w:type="dxa"/>
            <w:vMerge w:val="continue"/>
            <w:tcBorders>
              <w:left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基层法律服务工作者执业证</w:t>
            </w:r>
          </w:p>
        </w:tc>
        <w:tc>
          <w:tcPr>
            <w:tcW w:w="5381" w:type="dxa"/>
            <w:vMerge w:val="continue"/>
            <w:tcBorders>
              <w:left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1"/>
                <w:szCs w:val="21"/>
              </w:rPr>
            </w:pP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仿宋" w:hAnsi="仿宋" w:eastAsia="仿宋" w:cs="仿宋"/>
                <w:sz w:val="28"/>
                <w:szCs w:val="28"/>
                <w:lang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trPr>
        <w:tc>
          <w:tcPr>
            <w:tcW w:w="547"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24</w:t>
            </w:r>
          </w:p>
        </w:tc>
        <w:tc>
          <w:tcPr>
            <w:tcW w:w="1979" w:type="dxa"/>
            <w:vMerge w:val="continue"/>
            <w:tcBorders>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979" w:type="dxa"/>
            <w:vMerge w:val="continue"/>
            <w:tcBorders>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照片</w:t>
            </w:r>
          </w:p>
        </w:tc>
        <w:tc>
          <w:tcPr>
            <w:tcW w:w="5381" w:type="dxa"/>
            <w:vMerge w:val="continue"/>
            <w:tcBorders>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1"/>
                <w:szCs w:val="21"/>
              </w:rPr>
            </w:pP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仿宋" w:hAnsi="仿宋" w:eastAsia="仿宋" w:cs="仿宋"/>
                <w:sz w:val="28"/>
                <w:szCs w:val="28"/>
                <w:lang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4" w:hRule="atLeast"/>
        </w:trPr>
        <w:tc>
          <w:tcPr>
            <w:tcW w:w="547" w:type="dxa"/>
            <w:vMerge w:val="restart"/>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sz w:val="28"/>
                <w:szCs w:val="28"/>
              </w:rPr>
            </w:pPr>
            <w:r>
              <w:rPr>
                <w:rFonts w:hint="eastAsia" w:ascii="黑体" w:hAnsi="黑体" w:eastAsia="黑体" w:cs="黑体"/>
                <w:sz w:val="28"/>
                <w:szCs w:val="28"/>
              </w:rPr>
              <w:t>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sz w:val="28"/>
                <w:szCs w:val="28"/>
              </w:rPr>
            </w:pPr>
            <w:r>
              <w:rPr>
                <w:rFonts w:hint="eastAsia" w:ascii="黑体" w:hAnsi="黑体" w:eastAsia="黑体" w:cs="黑体"/>
                <w:sz w:val="28"/>
                <w:szCs w:val="28"/>
              </w:rPr>
              <w:t>号</w:t>
            </w:r>
          </w:p>
        </w:tc>
        <w:tc>
          <w:tcPr>
            <w:tcW w:w="1979" w:type="dxa"/>
            <w:vMerge w:val="restart"/>
            <w:tcBorders>
              <w:top w:val="single" w:color="000000" w:sz="2" w:space="0"/>
              <w:left w:val="single" w:color="000000" w:sz="2" w:space="0"/>
              <w:right w:val="single" w:color="auto" w:sz="4"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服务事项</w:t>
            </w:r>
          </w:p>
        </w:tc>
        <w:tc>
          <w:tcPr>
            <w:tcW w:w="1979" w:type="dxa"/>
            <w:vMerge w:val="restart"/>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事项类型</w:t>
            </w:r>
          </w:p>
        </w:tc>
        <w:tc>
          <w:tcPr>
            <w:tcW w:w="1981" w:type="dxa"/>
            <w:vMerge w:val="restart"/>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黑体" w:hAnsi="黑体" w:eastAsia="黑体" w:cs="黑体"/>
                <w:sz w:val="28"/>
                <w:szCs w:val="28"/>
                <w:lang w:val="en-US" w:eastAsia="zh-CN"/>
              </w:rPr>
            </w:pPr>
            <w:r>
              <w:rPr>
                <w:rFonts w:hint="eastAsia" w:ascii="黑体" w:hAnsi="黑体" w:eastAsia="黑体" w:cs="黑体"/>
                <w:sz w:val="28"/>
                <w:szCs w:val="28"/>
              </w:rPr>
              <w:t>证明</w:t>
            </w:r>
            <w:r>
              <w:rPr>
                <w:rFonts w:hint="eastAsia" w:ascii="黑体" w:hAnsi="黑体" w:eastAsia="黑体" w:cs="黑体"/>
                <w:sz w:val="28"/>
                <w:szCs w:val="28"/>
                <w:lang w:val="en-US" w:eastAsia="zh-CN"/>
              </w:rPr>
              <w:t>材料</w:t>
            </w:r>
          </w:p>
        </w:tc>
        <w:tc>
          <w:tcPr>
            <w:tcW w:w="5381" w:type="dxa"/>
            <w:vMerge w:val="restart"/>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sz w:val="28"/>
                <w:szCs w:val="28"/>
              </w:rPr>
            </w:pPr>
            <w:r>
              <w:rPr>
                <w:rFonts w:hint="eastAsia" w:ascii="黑体" w:hAnsi="黑体" w:eastAsia="黑体" w:cs="黑体"/>
                <w:sz w:val="28"/>
                <w:szCs w:val="28"/>
              </w:rPr>
              <w:t>设定依据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sz w:val="28"/>
                <w:szCs w:val="28"/>
              </w:rPr>
            </w:pPr>
            <w:r>
              <w:rPr>
                <w:rFonts w:hint="eastAsia" w:ascii="黑体" w:hAnsi="黑体" w:eastAsia="黑体" w:cs="黑体"/>
                <w:sz w:val="28"/>
                <w:szCs w:val="28"/>
              </w:rPr>
              <w:t>（名称、文号</w:t>
            </w:r>
            <w:r>
              <w:rPr>
                <w:rFonts w:hint="eastAsia" w:ascii="黑体" w:hAnsi="黑体" w:eastAsia="黑体" w:cs="黑体"/>
                <w:sz w:val="28"/>
                <w:szCs w:val="28"/>
                <w:lang w:eastAsia="zh-CN"/>
              </w:rPr>
              <w:t>、条款</w:t>
            </w:r>
            <w:r>
              <w:rPr>
                <w:rFonts w:hint="eastAsia" w:ascii="黑体" w:hAnsi="黑体" w:eastAsia="黑体" w:cs="黑体"/>
                <w:sz w:val="28"/>
                <w:szCs w:val="28"/>
              </w:rPr>
              <w:t>）</w:t>
            </w:r>
          </w:p>
        </w:tc>
        <w:tc>
          <w:tcPr>
            <w:tcW w:w="2107" w:type="dxa"/>
            <w:gridSpan w:val="2"/>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sz w:val="28"/>
                <w:szCs w:val="28"/>
              </w:rPr>
            </w:pPr>
            <w:r>
              <w:rPr>
                <w:rFonts w:hint="eastAsia" w:ascii="黑体" w:hAnsi="黑体" w:eastAsia="黑体" w:cs="黑体"/>
                <w:sz w:val="28"/>
                <w:szCs w:val="28"/>
              </w:rPr>
              <w:t>清理意见</w:t>
            </w:r>
          </w:p>
        </w:tc>
        <w:tc>
          <w:tcPr>
            <w:tcW w:w="2159" w:type="dxa"/>
            <w:vMerge w:val="restart"/>
            <w:tcBorders>
              <w:top w:val="single" w:color="000000" w:sz="2" w:space="0"/>
              <w:left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是否适用告知承诺制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trPr>
        <w:tc>
          <w:tcPr>
            <w:tcW w:w="547" w:type="dxa"/>
            <w:vMerge w:val="continue"/>
            <w:tcBorders>
              <w:top w:val="single" w:color="000000" w:sz="2"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黑体" w:hAnsi="黑体" w:eastAsia="黑体" w:cs="黑体"/>
                <w:sz w:val="28"/>
                <w:szCs w:val="28"/>
              </w:rPr>
            </w:pPr>
          </w:p>
        </w:tc>
        <w:tc>
          <w:tcPr>
            <w:tcW w:w="1979" w:type="dxa"/>
            <w:vMerge w:val="continue"/>
            <w:tcBorders>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黑体" w:hAnsi="黑体" w:eastAsia="黑体" w:cs="黑体"/>
                <w:sz w:val="28"/>
                <w:szCs w:val="28"/>
              </w:rPr>
            </w:pPr>
          </w:p>
        </w:tc>
        <w:tc>
          <w:tcPr>
            <w:tcW w:w="1979" w:type="dxa"/>
            <w:vMerge w:val="continue"/>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黑体" w:hAnsi="黑体" w:eastAsia="黑体" w:cs="黑体"/>
                <w:sz w:val="28"/>
                <w:szCs w:val="28"/>
              </w:rPr>
            </w:pPr>
          </w:p>
        </w:tc>
        <w:tc>
          <w:tcPr>
            <w:tcW w:w="1981" w:type="dxa"/>
            <w:vMerge w:val="continue"/>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黑体" w:hAnsi="黑体" w:eastAsia="黑体" w:cs="黑体"/>
                <w:sz w:val="28"/>
                <w:szCs w:val="28"/>
              </w:rPr>
            </w:pPr>
          </w:p>
        </w:tc>
        <w:tc>
          <w:tcPr>
            <w:tcW w:w="5381" w:type="dxa"/>
            <w:vMerge w:val="continue"/>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黑体" w:hAnsi="黑体" w:eastAsia="黑体" w:cs="黑体"/>
                <w:sz w:val="28"/>
                <w:szCs w:val="28"/>
              </w:rPr>
            </w:pP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sz w:val="28"/>
                <w:szCs w:val="28"/>
                <w:lang w:eastAsia="zh-CN"/>
              </w:rPr>
            </w:pPr>
            <w:r>
              <w:rPr>
                <w:rFonts w:hint="eastAsia" w:ascii="黑体" w:hAnsi="黑体" w:eastAsia="黑体" w:cs="黑体"/>
                <w:sz w:val="28"/>
                <w:szCs w:val="28"/>
                <w:lang w:val="en-US" w:eastAsia="zh-CN"/>
              </w:rPr>
              <w:t>取消</w:t>
            </w:r>
          </w:p>
        </w:tc>
        <w:tc>
          <w:tcPr>
            <w:tcW w:w="1054" w:type="dxa"/>
            <w:tcBorders>
              <w:top w:val="single" w:color="000000" w:sz="2"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sz w:val="28"/>
                <w:szCs w:val="28"/>
              </w:rPr>
            </w:pPr>
            <w:r>
              <w:rPr>
                <w:rFonts w:hint="eastAsia" w:ascii="黑体" w:hAnsi="黑体" w:eastAsia="黑体" w:cs="黑体"/>
                <w:sz w:val="28"/>
                <w:szCs w:val="28"/>
              </w:rPr>
              <w:t>保留</w:t>
            </w:r>
          </w:p>
        </w:tc>
        <w:tc>
          <w:tcPr>
            <w:tcW w:w="2159" w:type="dxa"/>
            <w:vMerge w:val="continue"/>
            <w:tcBorders>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17" w:hRule="atLeast"/>
        </w:trPr>
        <w:tc>
          <w:tcPr>
            <w:tcW w:w="547"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25</w:t>
            </w:r>
          </w:p>
        </w:tc>
        <w:tc>
          <w:tcPr>
            <w:tcW w:w="1979" w:type="dxa"/>
            <w:vMerge w:val="restart"/>
            <w:tcBorders>
              <w:top w:val="single" w:color="auto" w:sz="4" w:space="0"/>
              <w:left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司法行政机关</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国家司法救助</w:t>
            </w:r>
          </w:p>
        </w:tc>
        <w:tc>
          <w:tcPr>
            <w:tcW w:w="1979" w:type="dxa"/>
            <w:vMerge w:val="restart"/>
            <w:tcBorders>
              <w:top w:val="single" w:color="000000" w:sz="2" w:space="0"/>
              <w:left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公共服务</w:t>
            </w:r>
          </w:p>
        </w:tc>
        <w:tc>
          <w:tcPr>
            <w:tcW w:w="1981" w:type="dxa"/>
            <w:tcBorders>
              <w:top w:val="single" w:color="000000" w:sz="2" w:space="0"/>
              <w:left w:val="single" w:color="auto" w:sz="4"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居民身份证</w:t>
            </w:r>
          </w:p>
        </w:tc>
        <w:tc>
          <w:tcPr>
            <w:tcW w:w="5381" w:type="dxa"/>
            <w:vMerge w:val="restart"/>
            <w:tcBorders>
              <w:top w:val="single" w:color="000000" w:sz="2" w:space="0"/>
              <w:left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1"/>
                <w:szCs w:val="21"/>
              </w:rPr>
              <w:t>《安徽省司法行政机关国家司法救助制度实施办法（试行）》（皖司通〔2015〕9号）第十条：申请人提出国家司法救助申请时，应当提供以下证明材料：（一）申请人及其共同生活的家庭成员的身份证明、户籍证明、亲属关系证明；（二）办案机关对案件出具的相关法律文书；（三）申请人申请救助的原因和理由及实际损失后果；（四）申请人户籍地街道、乡（镇）人民政府或民政等部门出具的申请人及家庭成员经济状况证明，以及未获得民事赔偿、保险机构赔偿和社会保障机构救助情况的证明。</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val="en-US" w:eastAsia="zh-CN"/>
              </w:rPr>
            </w:pPr>
            <w:r>
              <w:rPr>
                <w:rFonts w:hint="eastAsia" w:ascii="Arial" w:hAnsi="Arial" w:eastAsia="仿宋" w:cs="Arial"/>
                <w:sz w:val="28"/>
                <w:szCs w:val="28"/>
                <w:lang w:val="en-US" w:eastAsia="zh-CN"/>
              </w:rPr>
              <w:t>取消</w:t>
            </w: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17" w:hRule="atLeast"/>
        </w:trPr>
        <w:tc>
          <w:tcPr>
            <w:tcW w:w="547"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26</w:t>
            </w:r>
          </w:p>
        </w:tc>
        <w:tc>
          <w:tcPr>
            <w:tcW w:w="1979" w:type="dxa"/>
            <w:vMerge w:val="continue"/>
            <w:tcBorders>
              <w:left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979" w:type="dxa"/>
            <w:vMerge w:val="continue"/>
            <w:tcBorders>
              <w:left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981" w:type="dxa"/>
            <w:tcBorders>
              <w:top w:val="single" w:color="auto" w:sz="4" w:space="0"/>
              <w:left w:val="single" w:color="auto" w:sz="4"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居民户口簿</w:t>
            </w:r>
          </w:p>
        </w:tc>
        <w:tc>
          <w:tcPr>
            <w:tcW w:w="5381" w:type="dxa"/>
            <w:vMerge w:val="continue"/>
            <w:tcBorders>
              <w:left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8"/>
                <w:szCs w:val="28"/>
              </w:rPr>
            </w:pP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val="en-US" w:eastAsia="zh-CN"/>
              </w:rPr>
            </w:pPr>
            <w:r>
              <w:rPr>
                <w:rFonts w:hint="eastAsia" w:ascii="Arial" w:hAnsi="Arial" w:eastAsia="仿宋" w:cs="Arial"/>
                <w:sz w:val="28"/>
                <w:szCs w:val="28"/>
                <w:lang w:val="en-US" w:eastAsia="zh-CN"/>
              </w:rPr>
              <w:t>取消</w:t>
            </w: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17" w:hRule="atLeast"/>
        </w:trPr>
        <w:tc>
          <w:tcPr>
            <w:tcW w:w="547"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27</w:t>
            </w:r>
          </w:p>
        </w:tc>
        <w:tc>
          <w:tcPr>
            <w:tcW w:w="1979" w:type="dxa"/>
            <w:vMerge w:val="continue"/>
            <w:tcBorders>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979" w:type="dxa"/>
            <w:vMerge w:val="continue"/>
            <w:tcBorders>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981" w:type="dxa"/>
            <w:tcBorders>
              <w:top w:val="single" w:color="auto" w:sz="4"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办案机关对案件出具的相关法律文书</w:t>
            </w:r>
          </w:p>
        </w:tc>
        <w:tc>
          <w:tcPr>
            <w:tcW w:w="5381" w:type="dxa"/>
            <w:vMerge w:val="continue"/>
            <w:tcBorders>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8"/>
                <w:szCs w:val="28"/>
              </w:rPr>
            </w:pP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仿宋" w:hAnsi="仿宋" w:eastAsia="仿宋" w:cs="仿宋"/>
                <w:sz w:val="28"/>
                <w:szCs w:val="28"/>
                <w:lang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17" w:hRule="atLeast"/>
        </w:trPr>
        <w:tc>
          <w:tcPr>
            <w:tcW w:w="547"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28</w:t>
            </w:r>
          </w:p>
        </w:tc>
        <w:tc>
          <w:tcPr>
            <w:tcW w:w="1979" w:type="dxa"/>
            <w:vMerge w:val="restart"/>
            <w:tcBorders>
              <w:top w:val="single" w:color="auto" w:sz="4" w:space="0"/>
              <w:left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sz w:val="28"/>
                <w:szCs w:val="28"/>
              </w:rPr>
              <w:t>社会组织和志愿者开展法律援助工作指导服务</w:t>
            </w:r>
          </w:p>
        </w:tc>
        <w:tc>
          <w:tcPr>
            <w:tcW w:w="1979" w:type="dxa"/>
            <w:vMerge w:val="restart"/>
            <w:tcBorders>
              <w:top w:val="single" w:color="000000" w:sz="2" w:space="0"/>
              <w:left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sz w:val="28"/>
                <w:szCs w:val="28"/>
              </w:rPr>
              <w:t>公共服务</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sz w:val="28"/>
                <w:szCs w:val="28"/>
              </w:rPr>
              <w:t>单位证明</w:t>
            </w:r>
          </w:p>
        </w:tc>
        <w:tc>
          <w:tcPr>
            <w:tcW w:w="5381" w:type="dxa"/>
            <w:vMerge w:val="restart"/>
            <w:tcBorders>
              <w:top w:val="single" w:color="000000" w:sz="2" w:space="0"/>
              <w:left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sz w:val="21"/>
                <w:szCs w:val="21"/>
              </w:rPr>
              <w:t>《关于开展法律援助志愿者注册登记工作的通知》（司援字[2005]06号）中规定，注册法律援助志愿者，必须具备下列条件之一方可予以登记注册：（一）有执业证书，在社会法律服务机构执业的法律服务工作者；（二）通过律师考试或司法考试未执业的机关、企事业工作人员及有法律专业知识或其他专业知识的人士；（三）法学院校师生、法学专家学者；（三）新闻媒体记者、文化团体成员；（四）有经济能力，热衷于法律援助事业的社会贤达。</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仿宋_GB2312" w:hAnsi="仿宋_GB2312" w:eastAsia="仿宋_GB2312" w:cs="仿宋_GB2312"/>
                <w:color w:val="auto"/>
                <w:kern w:val="0"/>
                <w:sz w:val="28"/>
                <w:szCs w:val="28"/>
                <w:lang w:val="en-US" w:eastAsia="zh-CN" w:bidi="ar"/>
              </w:rPr>
            </w:pPr>
            <w:r>
              <w:rPr>
                <w:rFonts w:hint="eastAsia" w:ascii="Arial" w:hAnsi="Arial" w:eastAsia="仿宋" w:cs="Arial"/>
                <w:sz w:val="28"/>
                <w:szCs w:val="28"/>
                <w:lang w:val="en-US" w:eastAsia="zh-CN"/>
              </w:rPr>
              <w:t>取消</w:t>
            </w: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仿宋_GB2312" w:hAnsi="仿宋_GB2312" w:eastAsia="仿宋_GB2312" w:cs="仿宋_GB2312"/>
                <w:color w:val="auto"/>
                <w:kern w:val="0"/>
                <w:sz w:val="28"/>
                <w:szCs w:val="28"/>
                <w:lang w:val="en-US" w:eastAsia="zh-CN" w:bidi="ar"/>
              </w:rPr>
            </w:pP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17" w:hRule="atLeast"/>
        </w:trPr>
        <w:tc>
          <w:tcPr>
            <w:tcW w:w="547"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29</w:t>
            </w:r>
          </w:p>
        </w:tc>
        <w:tc>
          <w:tcPr>
            <w:tcW w:w="1979" w:type="dxa"/>
            <w:vMerge w:val="continue"/>
            <w:tcBorders>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8"/>
                <w:szCs w:val="28"/>
                <w:lang w:val="en-US" w:eastAsia="zh-CN" w:bidi="ar-SA"/>
              </w:rPr>
            </w:pPr>
          </w:p>
        </w:tc>
        <w:tc>
          <w:tcPr>
            <w:tcW w:w="1979" w:type="dxa"/>
            <w:vMerge w:val="continue"/>
            <w:tcBorders>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8"/>
                <w:szCs w:val="28"/>
                <w:lang w:val="en-US" w:eastAsia="zh-CN" w:bidi="ar-SA"/>
              </w:rPr>
            </w:pP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sz w:val="28"/>
                <w:szCs w:val="28"/>
              </w:rPr>
              <w:t>项目计划书</w:t>
            </w:r>
          </w:p>
        </w:tc>
        <w:tc>
          <w:tcPr>
            <w:tcW w:w="5381" w:type="dxa"/>
            <w:vMerge w:val="continue"/>
            <w:tcBorders>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kern w:val="2"/>
                <w:sz w:val="21"/>
                <w:szCs w:val="21"/>
                <w:lang w:val="en-US" w:eastAsia="zh-CN" w:bidi="ar-SA"/>
              </w:rPr>
            </w:pP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仿宋_GB2312" w:hAnsi="仿宋_GB2312" w:eastAsia="仿宋_GB2312" w:cs="仿宋_GB2312"/>
                <w:color w:val="auto"/>
                <w:kern w:val="0"/>
                <w:sz w:val="28"/>
                <w:szCs w:val="28"/>
                <w:lang w:val="en-US" w:eastAsia="zh-CN" w:bidi="ar"/>
              </w:rPr>
            </w:pPr>
            <w:r>
              <w:rPr>
                <w:rFonts w:hint="eastAsia" w:ascii="Arial" w:hAnsi="Arial" w:eastAsia="仿宋" w:cs="Arial"/>
                <w:sz w:val="28"/>
                <w:szCs w:val="28"/>
                <w:lang w:val="en-US" w:eastAsia="zh-CN"/>
              </w:rPr>
              <w:t>取消</w:t>
            </w: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仿宋_GB2312" w:hAnsi="仿宋_GB2312" w:eastAsia="仿宋_GB2312" w:cs="仿宋_GB2312"/>
                <w:color w:val="auto"/>
                <w:kern w:val="0"/>
                <w:sz w:val="28"/>
                <w:szCs w:val="28"/>
                <w:lang w:val="en-US" w:eastAsia="zh-CN" w:bidi="ar"/>
              </w:rPr>
            </w:pP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4" w:hRule="atLeast"/>
        </w:trPr>
        <w:tc>
          <w:tcPr>
            <w:tcW w:w="547" w:type="dxa"/>
            <w:vMerge w:val="restart"/>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sz w:val="28"/>
                <w:szCs w:val="28"/>
              </w:rPr>
            </w:pPr>
            <w:r>
              <w:rPr>
                <w:rFonts w:hint="eastAsia" w:ascii="黑体" w:hAnsi="黑体" w:eastAsia="黑体" w:cs="黑体"/>
                <w:sz w:val="28"/>
                <w:szCs w:val="28"/>
              </w:rPr>
              <w:t>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sz w:val="28"/>
                <w:szCs w:val="28"/>
              </w:rPr>
            </w:pPr>
            <w:r>
              <w:rPr>
                <w:rFonts w:hint="eastAsia" w:ascii="黑体" w:hAnsi="黑体" w:eastAsia="黑体" w:cs="黑体"/>
                <w:sz w:val="28"/>
                <w:szCs w:val="28"/>
              </w:rPr>
              <w:t>号</w:t>
            </w:r>
          </w:p>
        </w:tc>
        <w:tc>
          <w:tcPr>
            <w:tcW w:w="1979" w:type="dxa"/>
            <w:vMerge w:val="restart"/>
            <w:tcBorders>
              <w:top w:val="single" w:color="000000" w:sz="2" w:space="0"/>
              <w:left w:val="single" w:color="000000" w:sz="2" w:space="0"/>
              <w:right w:val="single" w:color="auto" w:sz="4"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服务事项</w:t>
            </w:r>
          </w:p>
        </w:tc>
        <w:tc>
          <w:tcPr>
            <w:tcW w:w="1979" w:type="dxa"/>
            <w:vMerge w:val="restart"/>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事项类型</w:t>
            </w:r>
          </w:p>
        </w:tc>
        <w:tc>
          <w:tcPr>
            <w:tcW w:w="1981" w:type="dxa"/>
            <w:vMerge w:val="restart"/>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黑体" w:hAnsi="黑体" w:eastAsia="黑体" w:cs="黑体"/>
                <w:sz w:val="28"/>
                <w:szCs w:val="28"/>
                <w:lang w:val="en-US" w:eastAsia="zh-CN"/>
              </w:rPr>
            </w:pPr>
            <w:r>
              <w:rPr>
                <w:rFonts w:hint="eastAsia" w:ascii="黑体" w:hAnsi="黑体" w:eastAsia="黑体" w:cs="黑体"/>
                <w:sz w:val="28"/>
                <w:szCs w:val="28"/>
              </w:rPr>
              <w:t>证明</w:t>
            </w:r>
            <w:r>
              <w:rPr>
                <w:rFonts w:hint="eastAsia" w:ascii="黑体" w:hAnsi="黑体" w:eastAsia="黑体" w:cs="黑体"/>
                <w:sz w:val="28"/>
                <w:szCs w:val="28"/>
                <w:lang w:val="en-US" w:eastAsia="zh-CN"/>
              </w:rPr>
              <w:t>材料</w:t>
            </w:r>
          </w:p>
        </w:tc>
        <w:tc>
          <w:tcPr>
            <w:tcW w:w="5381" w:type="dxa"/>
            <w:vMerge w:val="restart"/>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sz w:val="28"/>
                <w:szCs w:val="28"/>
              </w:rPr>
            </w:pPr>
            <w:r>
              <w:rPr>
                <w:rFonts w:hint="eastAsia" w:ascii="黑体" w:hAnsi="黑体" w:eastAsia="黑体" w:cs="黑体"/>
                <w:sz w:val="28"/>
                <w:szCs w:val="28"/>
              </w:rPr>
              <w:t>设定依据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sz w:val="28"/>
                <w:szCs w:val="28"/>
              </w:rPr>
            </w:pPr>
            <w:r>
              <w:rPr>
                <w:rFonts w:hint="eastAsia" w:ascii="黑体" w:hAnsi="黑体" w:eastAsia="黑体" w:cs="黑体"/>
                <w:sz w:val="28"/>
                <w:szCs w:val="28"/>
              </w:rPr>
              <w:t>（名称、文号</w:t>
            </w:r>
            <w:r>
              <w:rPr>
                <w:rFonts w:hint="eastAsia" w:ascii="黑体" w:hAnsi="黑体" w:eastAsia="黑体" w:cs="黑体"/>
                <w:sz w:val="28"/>
                <w:szCs w:val="28"/>
                <w:lang w:eastAsia="zh-CN"/>
              </w:rPr>
              <w:t>、条款</w:t>
            </w:r>
            <w:r>
              <w:rPr>
                <w:rFonts w:hint="eastAsia" w:ascii="黑体" w:hAnsi="黑体" w:eastAsia="黑体" w:cs="黑体"/>
                <w:sz w:val="28"/>
                <w:szCs w:val="28"/>
              </w:rPr>
              <w:t>）</w:t>
            </w:r>
          </w:p>
        </w:tc>
        <w:tc>
          <w:tcPr>
            <w:tcW w:w="2107" w:type="dxa"/>
            <w:gridSpan w:val="2"/>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sz w:val="28"/>
                <w:szCs w:val="28"/>
              </w:rPr>
            </w:pPr>
            <w:r>
              <w:rPr>
                <w:rFonts w:hint="eastAsia" w:ascii="黑体" w:hAnsi="黑体" w:eastAsia="黑体" w:cs="黑体"/>
                <w:sz w:val="28"/>
                <w:szCs w:val="28"/>
              </w:rPr>
              <w:t>清理意见</w:t>
            </w:r>
          </w:p>
        </w:tc>
        <w:tc>
          <w:tcPr>
            <w:tcW w:w="2159" w:type="dxa"/>
            <w:vMerge w:val="restart"/>
            <w:tcBorders>
              <w:top w:val="single" w:color="000000" w:sz="2" w:space="0"/>
              <w:left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是否适用告知承诺制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trPr>
        <w:tc>
          <w:tcPr>
            <w:tcW w:w="547" w:type="dxa"/>
            <w:vMerge w:val="continue"/>
            <w:tcBorders>
              <w:top w:val="single" w:color="000000" w:sz="2"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黑体" w:hAnsi="黑体" w:eastAsia="黑体" w:cs="黑体"/>
                <w:sz w:val="28"/>
                <w:szCs w:val="28"/>
              </w:rPr>
            </w:pPr>
          </w:p>
        </w:tc>
        <w:tc>
          <w:tcPr>
            <w:tcW w:w="1979" w:type="dxa"/>
            <w:vMerge w:val="continue"/>
            <w:tcBorders>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黑体" w:hAnsi="黑体" w:eastAsia="黑体" w:cs="黑体"/>
                <w:sz w:val="28"/>
                <w:szCs w:val="28"/>
              </w:rPr>
            </w:pPr>
          </w:p>
        </w:tc>
        <w:tc>
          <w:tcPr>
            <w:tcW w:w="1979" w:type="dxa"/>
            <w:vMerge w:val="continue"/>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黑体" w:hAnsi="黑体" w:eastAsia="黑体" w:cs="黑体"/>
                <w:sz w:val="28"/>
                <w:szCs w:val="28"/>
              </w:rPr>
            </w:pPr>
          </w:p>
        </w:tc>
        <w:tc>
          <w:tcPr>
            <w:tcW w:w="1981" w:type="dxa"/>
            <w:vMerge w:val="continue"/>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黑体" w:hAnsi="黑体" w:eastAsia="黑体" w:cs="黑体"/>
                <w:sz w:val="28"/>
                <w:szCs w:val="28"/>
              </w:rPr>
            </w:pPr>
          </w:p>
        </w:tc>
        <w:tc>
          <w:tcPr>
            <w:tcW w:w="5381" w:type="dxa"/>
            <w:vMerge w:val="continue"/>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黑体" w:hAnsi="黑体" w:eastAsia="黑体" w:cs="黑体"/>
                <w:sz w:val="28"/>
                <w:szCs w:val="28"/>
              </w:rPr>
            </w:pP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sz w:val="28"/>
                <w:szCs w:val="28"/>
                <w:lang w:eastAsia="zh-CN"/>
              </w:rPr>
            </w:pPr>
            <w:r>
              <w:rPr>
                <w:rFonts w:hint="eastAsia" w:ascii="黑体" w:hAnsi="黑体" w:eastAsia="黑体" w:cs="黑体"/>
                <w:sz w:val="28"/>
                <w:szCs w:val="28"/>
                <w:lang w:val="en-US" w:eastAsia="zh-CN"/>
              </w:rPr>
              <w:t>取消</w:t>
            </w:r>
          </w:p>
        </w:tc>
        <w:tc>
          <w:tcPr>
            <w:tcW w:w="1054" w:type="dxa"/>
            <w:tcBorders>
              <w:top w:val="single" w:color="000000" w:sz="2"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sz w:val="28"/>
                <w:szCs w:val="28"/>
              </w:rPr>
            </w:pPr>
            <w:r>
              <w:rPr>
                <w:rFonts w:hint="eastAsia" w:ascii="黑体" w:hAnsi="黑体" w:eastAsia="黑体" w:cs="黑体"/>
                <w:sz w:val="28"/>
                <w:szCs w:val="28"/>
              </w:rPr>
              <w:t>保留</w:t>
            </w:r>
          </w:p>
        </w:tc>
        <w:tc>
          <w:tcPr>
            <w:tcW w:w="2159" w:type="dxa"/>
            <w:vMerge w:val="continue"/>
            <w:tcBorders>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0" w:hRule="atLeast"/>
        </w:trPr>
        <w:tc>
          <w:tcPr>
            <w:tcW w:w="547"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30</w:t>
            </w:r>
          </w:p>
        </w:tc>
        <w:tc>
          <w:tcPr>
            <w:tcW w:w="1979" w:type="dxa"/>
            <w:vMerge w:val="restart"/>
            <w:tcBorders>
              <w:top w:val="single" w:color="auto" w:sz="4" w:space="0"/>
              <w:left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w w:val="100"/>
                <w:kern w:val="2"/>
                <w:sz w:val="28"/>
                <w:szCs w:val="28"/>
                <w:lang w:val="en-US" w:eastAsia="zh-CN" w:bidi="ar-SA"/>
              </w:rPr>
            </w:pPr>
            <w:r>
              <w:rPr>
                <w:rFonts w:hint="eastAsia" w:ascii="仿宋_GB2312" w:hAnsi="仿宋_GB2312" w:eastAsia="仿宋_GB2312" w:cs="仿宋_GB2312"/>
                <w:w w:val="100"/>
                <w:sz w:val="28"/>
                <w:szCs w:val="28"/>
              </w:rPr>
              <w:t>律师执业证书遗失、损毁补（换）发</w:t>
            </w:r>
          </w:p>
        </w:tc>
        <w:tc>
          <w:tcPr>
            <w:tcW w:w="1979" w:type="dxa"/>
            <w:vMerge w:val="restart"/>
            <w:tcBorders>
              <w:top w:val="single" w:color="000000" w:sz="2" w:space="0"/>
              <w:left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sz w:val="28"/>
                <w:szCs w:val="28"/>
              </w:rPr>
              <w:t>公共服务</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w w:val="90"/>
                <w:sz w:val="28"/>
                <w:szCs w:val="28"/>
              </w:rPr>
              <w:t>补（换）发申请表</w:t>
            </w:r>
          </w:p>
        </w:tc>
        <w:tc>
          <w:tcPr>
            <w:tcW w:w="5381" w:type="dxa"/>
            <w:vMerge w:val="restart"/>
            <w:tcBorders>
              <w:top w:val="single" w:color="000000" w:sz="2" w:space="0"/>
              <w:left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sz w:val="21"/>
                <w:szCs w:val="21"/>
              </w:rPr>
              <w:t>《律师和律师事务所执业证书管理办法》第十条：律师、律师事务所因执业证书损毁等原因，导致执业证书无法使用的，应当申请换发执业证书。换发执业证书，应当向设区的市级或者直辖市的区（县）司法行政机关提出申请，由其在收到申请之日起五日内完成审查，并上报原发证机关。原发证机关应当自收到申请之日起十日内完成审查，符合规定的，为申请人换发执业证书；不符合规定的，不予换发执业证书，并向申请人说明理由。准予换发执业证书的，申请人在领取新的执业证书时，应当将原执业证书交回原发证机关。第十一条：执业证书遗失的，律师或者律师事务所应当及时报告所在地县（区）司法行政机关，并在省级以上报刊或者发证机关指定网站上刊登遗失声明。遗失声明应当载明遗失的执业证书的种类、持证人姓名（名称）、执业证号和执业证书流水号。律师、律师事务所申请补发执业证书的，按照本办法第十条第二款规定的程序办理。申请时应当同时提交已刊登遗失声明的证明材料。</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仿宋_GB2312" w:hAnsi="仿宋_GB2312" w:eastAsia="仿宋_GB2312" w:cs="仿宋_GB2312"/>
                <w:color w:val="auto"/>
                <w:kern w:val="0"/>
                <w:sz w:val="28"/>
                <w:szCs w:val="28"/>
                <w:lang w:val="en-US" w:eastAsia="zh-CN" w:bidi="ar"/>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仿宋_GB2312" w:hAnsi="仿宋_GB2312" w:eastAsia="仿宋_GB2312" w:cs="仿宋_GB2312"/>
                <w:color w:val="auto"/>
                <w:kern w:val="0"/>
                <w:sz w:val="28"/>
                <w:szCs w:val="28"/>
                <w:lang w:val="en-US" w:eastAsia="zh-CN" w:bidi="ar"/>
              </w:rPr>
            </w:pPr>
            <w:r>
              <w:rPr>
                <w:rFonts w:hint="eastAsia" w:ascii="仿宋" w:hAnsi="仿宋" w:eastAsia="仿宋" w:cs="仿宋"/>
                <w:sz w:val="28"/>
                <w:szCs w:val="28"/>
                <w:lang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0" w:hRule="atLeast"/>
        </w:trPr>
        <w:tc>
          <w:tcPr>
            <w:tcW w:w="547"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31</w:t>
            </w:r>
          </w:p>
        </w:tc>
        <w:tc>
          <w:tcPr>
            <w:tcW w:w="1979" w:type="dxa"/>
            <w:vMerge w:val="continue"/>
            <w:tcBorders>
              <w:left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979" w:type="dxa"/>
            <w:vMerge w:val="continue"/>
            <w:tcBorders>
              <w:left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遗失的，提交刊登遗失声明的省级以上报刊</w:t>
            </w:r>
          </w:p>
        </w:tc>
        <w:tc>
          <w:tcPr>
            <w:tcW w:w="5381" w:type="dxa"/>
            <w:vMerge w:val="continue"/>
            <w:tcBorders>
              <w:left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1"/>
                <w:szCs w:val="21"/>
              </w:rPr>
            </w:pP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仿宋" w:hAnsi="仿宋" w:eastAsia="仿宋" w:cs="仿宋"/>
                <w:sz w:val="28"/>
                <w:szCs w:val="28"/>
                <w:lang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0" w:hRule="atLeast"/>
        </w:trPr>
        <w:tc>
          <w:tcPr>
            <w:tcW w:w="547"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32</w:t>
            </w:r>
          </w:p>
        </w:tc>
        <w:tc>
          <w:tcPr>
            <w:tcW w:w="1979" w:type="dxa"/>
            <w:vMerge w:val="continue"/>
            <w:tcBorders>
              <w:left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979" w:type="dxa"/>
            <w:vMerge w:val="continue"/>
            <w:tcBorders>
              <w:left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distribute"/>
              <w:textAlignment w:val="auto"/>
              <w:rPr>
                <w:rFonts w:hint="eastAsia" w:ascii="仿宋_GB2312" w:hAnsi="仿宋_GB2312" w:eastAsia="仿宋_GB2312" w:cs="仿宋_GB2312"/>
                <w:sz w:val="28"/>
                <w:szCs w:val="28"/>
              </w:rPr>
            </w:pPr>
            <w:r>
              <w:rPr>
                <w:rFonts w:hint="eastAsia" w:ascii="仿宋_GB2312" w:hAnsi="仿宋_GB2312" w:eastAsia="仿宋_GB2312" w:cs="仿宋_GB2312"/>
                <w:w w:val="90"/>
                <w:sz w:val="28"/>
                <w:szCs w:val="28"/>
              </w:rPr>
              <w:t>因年度考核备案栏目填写已满申请换发的，提交填满的律师执业证</w:t>
            </w:r>
          </w:p>
        </w:tc>
        <w:tc>
          <w:tcPr>
            <w:tcW w:w="5381" w:type="dxa"/>
            <w:vMerge w:val="continue"/>
            <w:tcBorders>
              <w:left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1"/>
                <w:szCs w:val="21"/>
              </w:rPr>
            </w:pP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仿宋" w:hAnsi="仿宋" w:eastAsia="仿宋" w:cs="仿宋"/>
                <w:sz w:val="28"/>
                <w:szCs w:val="28"/>
                <w:lang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0" w:hRule="atLeast"/>
        </w:trPr>
        <w:tc>
          <w:tcPr>
            <w:tcW w:w="547"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33</w:t>
            </w:r>
          </w:p>
        </w:tc>
        <w:tc>
          <w:tcPr>
            <w:tcW w:w="1979" w:type="dxa"/>
            <w:vMerge w:val="continue"/>
            <w:tcBorders>
              <w:left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979" w:type="dxa"/>
            <w:vMerge w:val="continue"/>
            <w:tcBorders>
              <w:left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因持证人法律职业资格证变更申请换发的，提交变更后的法律职业资格证副本</w:t>
            </w:r>
          </w:p>
        </w:tc>
        <w:tc>
          <w:tcPr>
            <w:tcW w:w="5381" w:type="dxa"/>
            <w:vMerge w:val="continue"/>
            <w:tcBorders>
              <w:left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1"/>
                <w:szCs w:val="21"/>
              </w:rPr>
            </w:pP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仿宋" w:hAnsi="仿宋" w:eastAsia="仿宋" w:cs="仿宋"/>
                <w:sz w:val="28"/>
                <w:szCs w:val="28"/>
                <w:lang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0" w:hRule="atLeast"/>
        </w:trPr>
        <w:tc>
          <w:tcPr>
            <w:tcW w:w="547"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34</w:t>
            </w:r>
          </w:p>
        </w:tc>
        <w:tc>
          <w:tcPr>
            <w:tcW w:w="1979" w:type="dxa"/>
            <w:vMerge w:val="continue"/>
            <w:tcBorders>
              <w:left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979" w:type="dxa"/>
            <w:vMerge w:val="continue"/>
            <w:tcBorders>
              <w:left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因损毁申请换发的，提交破损的律师执业证</w:t>
            </w:r>
          </w:p>
        </w:tc>
        <w:tc>
          <w:tcPr>
            <w:tcW w:w="5381" w:type="dxa"/>
            <w:vMerge w:val="continue"/>
            <w:tcBorders>
              <w:left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1"/>
                <w:szCs w:val="21"/>
              </w:rPr>
            </w:pP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仿宋" w:hAnsi="仿宋" w:eastAsia="仿宋" w:cs="仿宋"/>
                <w:sz w:val="28"/>
                <w:szCs w:val="28"/>
                <w:lang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0" w:hRule="atLeast"/>
        </w:trPr>
        <w:tc>
          <w:tcPr>
            <w:tcW w:w="547"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35</w:t>
            </w:r>
          </w:p>
        </w:tc>
        <w:tc>
          <w:tcPr>
            <w:tcW w:w="1979" w:type="dxa"/>
            <w:vMerge w:val="continue"/>
            <w:tcBorders>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979" w:type="dxa"/>
            <w:vMerge w:val="continue"/>
            <w:tcBorders>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照片</w:t>
            </w:r>
          </w:p>
        </w:tc>
        <w:tc>
          <w:tcPr>
            <w:tcW w:w="5381" w:type="dxa"/>
            <w:vMerge w:val="continue"/>
            <w:tcBorders>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1"/>
                <w:szCs w:val="21"/>
              </w:rPr>
            </w:pP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仿宋" w:hAnsi="仿宋" w:eastAsia="仿宋" w:cs="仿宋"/>
                <w:sz w:val="28"/>
                <w:szCs w:val="28"/>
                <w:lang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4" w:hRule="atLeast"/>
        </w:trPr>
        <w:tc>
          <w:tcPr>
            <w:tcW w:w="547" w:type="dxa"/>
            <w:vMerge w:val="restart"/>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sz w:val="28"/>
                <w:szCs w:val="28"/>
              </w:rPr>
            </w:pPr>
            <w:r>
              <w:rPr>
                <w:rFonts w:hint="eastAsia" w:ascii="黑体" w:hAnsi="黑体" w:eastAsia="黑体" w:cs="黑体"/>
                <w:sz w:val="28"/>
                <w:szCs w:val="28"/>
              </w:rPr>
              <w:t>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sz w:val="28"/>
                <w:szCs w:val="28"/>
              </w:rPr>
            </w:pPr>
            <w:r>
              <w:rPr>
                <w:rFonts w:hint="eastAsia" w:ascii="黑体" w:hAnsi="黑体" w:eastAsia="黑体" w:cs="黑体"/>
                <w:sz w:val="28"/>
                <w:szCs w:val="28"/>
              </w:rPr>
              <w:t>号</w:t>
            </w:r>
          </w:p>
        </w:tc>
        <w:tc>
          <w:tcPr>
            <w:tcW w:w="1979" w:type="dxa"/>
            <w:vMerge w:val="restart"/>
            <w:tcBorders>
              <w:top w:val="single" w:color="000000" w:sz="2" w:space="0"/>
              <w:left w:val="single" w:color="000000" w:sz="2" w:space="0"/>
              <w:right w:val="single" w:color="auto" w:sz="4"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服务事项</w:t>
            </w:r>
          </w:p>
        </w:tc>
        <w:tc>
          <w:tcPr>
            <w:tcW w:w="1979" w:type="dxa"/>
            <w:vMerge w:val="restart"/>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事项类型</w:t>
            </w:r>
          </w:p>
        </w:tc>
        <w:tc>
          <w:tcPr>
            <w:tcW w:w="1981" w:type="dxa"/>
            <w:vMerge w:val="restart"/>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黑体" w:hAnsi="黑体" w:eastAsia="黑体" w:cs="黑体"/>
                <w:sz w:val="28"/>
                <w:szCs w:val="28"/>
                <w:lang w:val="en-US" w:eastAsia="zh-CN"/>
              </w:rPr>
            </w:pPr>
            <w:r>
              <w:rPr>
                <w:rFonts w:hint="eastAsia" w:ascii="黑体" w:hAnsi="黑体" w:eastAsia="黑体" w:cs="黑体"/>
                <w:sz w:val="28"/>
                <w:szCs w:val="28"/>
              </w:rPr>
              <w:t>证明</w:t>
            </w:r>
            <w:r>
              <w:rPr>
                <w:rFonts w:hint="eastAsia" w:ascii="黑体" w:hAnsi="黑体" w:eastAsia="黑体" w:cs="黑体"/>
                <w:sz w:val="28"/>
                <w:szCs w:val="28"/>
                <w:lang w:val="en-US" w:eastAsia="zh-CN"/>
              </w:rPr>
              <w:t>材料</w:t>
            </w:r>
          </w:p>
        </w:tc>
        <w:tc>
          <w:tcPr>
            <w:tcW w:w="5381" w:type="dxa"/>
            <w:vMerge w:val="restart"/>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sz w:val="28"/>
                <w:szCs w:val="28"/>
              </w:rPr>
            </w:pPr>
            <w:r>
              <w:rPr>
                <w:rFonts w:hint="eastAsia" w:ascii="黑体" w:hAnsi="黑体" w:eastAsia="黑体" w:cs="黑体"/>
                <w:sz w:val="28"/>
                <w:szCs w:val="28"/>
              </w:rPr>
              <w:t>设定依据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sz w:val="28"/>
                <w:szCs w:val="28"/>
              </w:rPr>
            </w:pPr>
            <w:r>
              <w:rPr>
                <w:rFonts w:hint="eastAsia" w:ascii="黑体" w:hAnsi="黑体" w:eastAsia="黑体" w:cs="黑体"/>
                <w:sz w:val="28"/>
                <w:szCs w:val="28"/>
              </w:rPr>
              <w:t>（名称、文号</w:t>
            </w:r>
            <w:r>
              <w:rPr>
                <w:rFonts w:hint="eastAsia" w:ascii="黑体" w:hAnsi="黑体" w:eastAsia="黑体" w:cs="黑体"/>
                <w:sz w:val="28"/>
                <w:szCs w:val="28"/>
                <w:lang w:eastAsia="zh-CN"/>
              </w:rPr>
              <w:t>、条款</w:t>
            </w:r>
            <w:r>
              <w:rPr>
                <w:rFonts w:hint="eastAsia" w:ascii="黑体" w:hAnsi="黑体" w:eastAsia="黑体" w:cs="黑体"/>
                <w:sz w:val="28"/>
                <w:szCs w:val="28"/>
              </w:rPr>
              <w:t>）</w:t>
            </w:r>
          </w:p>
        </w:tc>
        <w:tc>
          <w:tcPr>
            <w:tcW w:w="2107" w:type="dxa"/>
            <w:gridSpan w:val="2"/>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sz w:val="28"/>
                <w:szCs w:val="28"/>
              </w:rPr>
            </w:pPr>
            <w:r>
              <w:rPr>
                <w:rFonts w:hint="eastAsia" w:ascii="黑体" w:hAnsi="黑体" w:eastAsia="黑体" w:cs="黑体"/>
                <w:sz w:val="28"/>
                <w:szCs w:val="28"/>
              </w:rPr>
              <w:t>清理意见</w:t>
            </w:r>
          </w:p>
        </w:tc>
        <w:tc>
          <w:tcPr>
            <w:tcW w:w="2159" w:type="dxa"/>
            <w:vMerge w:val="restart"/>
            <w:tcBorders>
              <w:top w:val="single" w:color="000000" w:sz="2" w:space="0"/>
              <w:left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是否适用告知承诺制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trPr>
        <w:tc>
          <w:tcPr>
            <w:tcW w:w="547" w:type="dxa"/>
            <w:vMerge w:val="continue"/>
            <w:tcBorders>
              <w:top w:val="single" w:color="000000" w:sz="2"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黑体" w:hAnsi="黑体" w:eastAsia="黑体" w:cs="黑体"/>
                <w:sz w:val="28"/>
                <w:szCs w:val="28"/>
              </w:rPr>
            </w:pPr>
          </w:p>
        </w:tc>
        <w:tc>
          <w:tcPr>
            <w:tcW w:w="1979" w:type="dxa"/>
            <w:vMerge w:val="continue"/>
            <w:tcBorders>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黑体" w:hAnsi="黑体" w:eastAsia="黑体" w:cs="黑体"/>
                <w:sz w:val="28"/>
                <w:szCs w:val="28"/>
              </w:rPr>
            </w:pPr>
          </w:p>
        </w:tc>
        <w:tc>
          <w:tcPr>
            <w:tcW w:w="1979" w:type="dxa"/>
            <w:vMerge w:val="continue"/>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黑体" w:hAnsi="黑体" w:eastAsia="黑体" w:cs="黑体"/>
                <w:sz w:val="28"/>
                <w:szCs w:val="28"/>
              </w:rPr>
            </w:pPr>
          </w:p>
        </w:tc>
        <w:tc>
          <w:tcPr>
            <w:tcW w:w="1981" w:type="dxa"/>
            <w:vMerge w:val="continue"/>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黑体" w:hAnsi="黑体" w:eastAsia="黑体" w:cs="黑体"/>
                <w:sz w:val="28"/>
                <w:szCs w:val="28"/>
              </w:rPr>
            </w:pPr>
          </w:p>
        </w:tc>
        <w:tc>
          <w:tcPr>
            <w:tcW w:w="5381" w:type="dxa"/>
            <w:vMerge w:val="continue"/>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黑体" w:hAnsi="黑体" w:eastAsia="黑体" w:cs="黑体"/>
                <w:sz w:val="28"/>
                <w:szCs w:val="28"/>
              </w:rPr>
            </w:pP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sz w:val="28"/>
                <w:szCs w:val="28"/>
                <w:lang w:eastAsia="zh-CN"/>
              </w:rPr>
            </w:pPr>
            <w:r>
              <w:rPr>
                <w:rFonts w:hint="eastAsia" w:ascii="黑体" w:hAnsi="黑体" w:eastAsia="黑体" w:cs="黑体"/>
                <w:sz w:val="28"/>
                <w:szCs w:val="28"/>
                <w:lang w:val="en-US" w:eastAsia="zh-CN"/>
              </w:rPr>
              <w:t>取消</w:t>
            </w:r>
          </w:p>
        </w:tc>
        <w:tc>
          <w:tcPr>
            <w:tcW w:w="1054" w:type="dxa"/>
            <w:tcBorders>
              <w:top w:val="single" w:color="000000" w:sz="2"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sz w:val="28"/>
                <w:szCs w:val="28"/>
              </w:rPr>
            </w:pPr>
            <w:r>
              <w:rPr>
                <w:rFonts w:hint="eastAsia" w:ascii="黑体" w:hAnsi="黑体" w:eastAsia="黑体" w:cs="黑体"/>
                <w:sz w:val="28"/>
                <w:szCs w:val="28"/>
              </w:rPr>
              <w:t>保留</w:t>
            </w:r>
          </w:p>
        </w:tc>
        <w:tc>
          <w:tcPr>
            <w:tcW w:w="2159" w:type="dxa"/>
            <w:vMerge w:val="continue"/>
            <w:tcBorders>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24" w:hRule="atLeast"/>
        </w:trPr>
        <w:tc>
          <w:tcPr>
            <w:tcW w:w="547"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36</w:t>
            </w:r>
          </w:p>
        </w:tc>
        <w:tc>
          <w:tcPr>
            <w:tcW w:w="1979" w:type="dxa"/>
            <w:vMerge w:val="restart"/>
            <w:tcBorders>
              <w:top w:val="single" w:color="auto" w:sz="4" w:space="0"/>
              <w:left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sz w:val="28"/>
                <w:szCs w:val="28"/>
              </w:rPr>
              <w:t>律师事务所执业证书遗失、损毁补（换）发</w:t>
            </w:r>
          </w:p>
        </w:tc>
        <w:tc>
          <w:tcPr>
            <w:tcW w:w="1979" w:type="dxa"/>
            <w:vMerge w:val="restart"/>
            <w:tcBorders>
              <w:top w:val="single" w:color="000000" w:sz="2" w:space="0"/>
              <w:left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sz w:val="28"/>
                <w:szCs w:val="28"/>
              </w:rPr>
              <w:t>公共服务</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sz w:val="28"/>
                <w:szCs w:val="28"/>
              </w:rPr>
              <w:t>遗失的，提交刊登遗失声明的省级以上报刊</w:t>
            </w:r>
          </w:p>
        </w:tc>
        <w:tc>
          <w:tcPr>
            <w:tcW w:w="5381" w:type="dxa"/>
            <w:vMerge w:val="restart"/>
            <w:tcBorders>
              <w:top w:val="single" w:color="000000" w:sz="2" w:space="0"/>
              <w:left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sz w:val="21"/>
                <w:szCs w:val="21"/>
              </w:rPr>
              <w:t>《律师和律师事务所执业证书管理办法》第十条，律师、律师事务所因执业证书损毁等原因，导致执业证书无法使用的，应当申请换发执业证书。换发执业证书，应当向设区的市级或者直辖市的区（县）司法行政机关提出申请，由其在收到申请之日起五日内完成审查，并上报原发证机关。原发证机关应当自收到申请之日起十日内完成审查，符合规定的，为申请人换发执业证书；不符合规定的，不予换发执业证书，并向申请人说明理由。准予换发执业证书的，申请人在领取新的执业证书时，应当将原执业证书交回原发证机关。第十一条：执业证书遗失的，律师或者律师事务所应当及时报告所在地县（区）司法行政机关，并在省级以上报刊或者发证机关指定网站上刊登遗失声明。遗失声明应当载明遗失的执业证书的种类、持证人姓名（名称）、执业证号和执业证书流水号。律师、律师事务所申请补发执业证书的，按照本办法第十条第二款规定的程序办理。申请时应当同时提交已刊登遗失声明的证明材料。</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仿宋" w:hAnsi="仿宋" w:eastAsia="仿宋" w:cs="仿宋"/>
                <w:sz w:val="28"/>
                <w:szCs w:val="28"/>
                <w:lang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87" w:hRule="atLeast"/>
        </w:trPr>
        <w:tc>
          <w:tcPr>
            <w:tcW w:w="547"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37</w:t>
            </w:r>
          </w:p>
        </w:tc>
        <w:tc>
          <w:tcPr>
            <w:tcW w:w="1979" w:type="dxa"/>
            <w:vMerge w:val="continue"/>
            <w:tcBorders>
              <w:left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979" w:type="dxa"/>
            <w:vMerge w:val="continue"/>
            <w:tcBorders>
              <w:left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因损毁申请换发的，提交破损的执业证</w:t>
            </w:r>
          </w:p>
        </w:tc>
        <w:tc>
          <w:tcPr>
            <w:tcW w:w="5381" w:type="dxa"/>
            <w:vMerge w:val="continue"/>
            <w:tcBorders>
              <w:left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1"/>
                <w:szCs w:val="21"/>
              </w:rPr>
            </w:pP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仿宋" w:hAnsi="仿宋" w:eastAsia="仿宋" w:cs="仿宋"/>
                <w:sz w:val="28"/>
                <w:szCs w:val="28"/>
                <w:lang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69" w:hRule="atLeast"/>
        </w:trPr>
        <w:tc>
          <w:tcPr>
            <w:tcW w:w="547"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38</w:t>
            </w:r>
          </w:p>
        </w:tc>
        <w:tc>
          <w:tcPr>
            <w:tcW w:w="1979" w:type="dxa"/>
            <w:vMerge w:val="continue"/>
            <w:tcBorders>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979" w:type="dxa"/>
            <w:vMerge w:val="continue"/>
            <w:tcBorders>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因年度考核备案栏目填写已满申请换发的，提交填满的执业证</w:t>
            </w:r>
          </w:p>
        </w:tc>
        <w:tc>
          <w:tcPr>
            <w:tcW w:w="5381" w:type="dxa"/>
            <w:vMerge w:val="continue"/>
            <w:tcBorders>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1"/>
                <w:szCs w:val="21"/>
              </w:rPr>
            </w:pP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仿宋" w:hAnsi="仿宋" w:eastAsia="仿宋" w:cs="仿宋"/>
                <w:sz w:val="28"/>
                <w:szCs w:val="28"/>
                <w:lang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4" w:hRule="atLeast"/>
        </w:trPr>
        <w:tc>
          <w:tcPr>
            <w:tcW w:w="547" w:type="dxa"/>
            <w:vMerge w:val="restart"/>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sz w:val="28"/>
                <w:szCs w:val="28"/>
              </w:rPr>
            </w:pPr>
            <w:r>
              <w:rPr>
                <w:rFonts w:hint="eastAsia" w:ascii="黑体" w:hAnsi="黑体" w:eastAsia="黑体" w:cs="黑体"/>
                <w:sz w:val="28"/>
                <w:szCs w:val="28"/>
              </w:rPr>
              <w:t>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sz w:val="28"/>
                <w:szCs w:val="28"/>
              </w:rPr>
            </w:pPr>
            <w:r>
              <w:rPr>
                <w:rFonts w:hint="eastAsia" w:ascii="黑体" w:hAnsi="黑体" w:eastAsia="黑体" w:cs="黑体"/>
                <w:sz w:val="28"/>
                <w:szCs w:val="28"/>
              </w:rPr>
              <w:t>号</w:t>
            </w:r>
          </w:p>
        </w:tc>
        <w:tc>
          <w:tcPr>
            <w:tcW w:w="1979" w:type="dxa"/>
            <w:vMerge w:val="restart"/>
            <w:tcBorders>
              <w:top w:val="single" w:color="000000" w:sz="2" w:space="0"/>
              <w:left w:val="single" w:color="000000" w:sz="2" w:space="0"/>
              <w:right w:val="single" w:color="auto" w:sz="4"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服务事项</w:t>
            </w:r>
          </w:p>
        </w:tc>
        <w:tc>
          <w:tcPr>
            <w:tcW w:w="1979" w:type="dxa"/>
            <w:vMerge w:val="restart"/>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事项类型</w:t>
            </w:r>
          </w:p>
        </w:tc>
        <w:tc>
          <w:tcPr>
            <w:tcW w:w="1981" w:type="dxa"/>
            <w:vMerge w:val="restart"/>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黑体" w:hAnsi="黑体" w:eastAsia="黑体" w:cs="黑体"/>
                <w:sz w:val="28"/>
                <w:szCs w:val="28"/>
                <w:lang w:val="en-US" w:eastAsia="zh-CN"/>
              </w:rPr>
            </w:pPr>
            <w:r>
              <w:rPr>
                <w:rFonts w:hint="eastAsia" w:ascii="黑体" w:hAnsi="黑体" w:eastAsia="黑体" w:cs="黑体"/>
                <w:sz w:val="28"/>
                <w:szCs w:val="28"/>
              </w:rPr>
              <w:t>证明</w:t>
            </w:r>
            <w:r>
              <w:rPr>
                <w:rFonts w:hint="eastAsia" w:ascii="黑体" w:hAnsi="黑体" w:eastAsia="黑体" w:cs="黑体"/>
                <w:sz w:val="28"/>
                <w:szCs w:val="28"/>
                <w:lang w:val="en-US" w:eastAsia="zh-CN"/>
              </w:rPr>
              <w:t>材料</w:t>
            </w:r>
          </w:p>
        </w:tc>
        <w:tc>
          <w:tcPr>
            <w:tcW w:w="5381" w:type="dxa"/>
            <w:vMerge w:val="restart"/>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sz w:val="28"/>
                <w:szCs w:val="28"/>
              </w:rPr>
            </w:pPr>
            <w:r>
              <w:rPr>
                <w:rFonts w:hint="eastAsia" w:ascii="黑体" w:hAnsi="黑体" w:eastAsia="黑体" w:cs="黑体"/>
                <w:sz w:val="28"/>
                <w:szCs w:val="28"/>
              </w:rPr>
              <w:t>设定依据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sz w:val="28"/>
                <w:szCs w:val="28"/>
              </w:rPr>
            </w:pPr>
            <w:r>
              <w:rPr>
                <w:rFonts w:hint="eastAsia" w:ascii="黑体" w:hAnsi="黑体" w:eastAsia="黑体" w:cs="黑体"/>
                <w:sz w:val="28"/>
                <w:szCs w:val="28"/>
              </w:rPr>
              <w:t>（名称、文号</w:t>
            </w:r>
            <w:r>
              <w:rPr>
                <w:rFonts w:hint="eastAsia" w:ascii="黑体" w:hAnsi="黑体" w:eastAsia="黑体" w:cs="黑体"/>
                <w:sz w:val="28"/>
                <w:szCs w:val="28"/>
                <w:lang w:eastAsia="zh-CN"/>
              </w:rPr>
              <w:t>、条款</w:t>
            </w:r>
            <w:r>
              <w:rPr>
                <w:rFonts w:hint="eastAsia" w:ascii="黑体" w:hAnsi="黑体" w:eastAsia="黑体" w:cs="黑体"/>
                <w:sz w:val="28"/>
                <w:szCs w:val="28"/>
              </w:rPr>
              <w:t>）</w:t>
            </w:r>
          </w:p>
        </w:tc>
        <w:tc>
          <w:tcPr>
            <w:tcW w:w="2107" w:type="dxa"/>
            <w:gridSpan w:val="2"/>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sz w:val="28"/>
                <w:szCs w:val="28"/>
              </w:rPr>
            </w:pPr>
            <w:r>
              <w:rPr>
                <w:rFonts w:hint="eastAsia" w:ascii="黑体" w:hAnsi="黑体" w:eastAsia="黑体" w:cs="黑体"/>
                <w:sz w:val="28"/>
                <w:szCs w:val="28"/>
              </w:rPr>
              <w:t>清理意见</w:t>
            </w:r>
          </w:p>
        </w:tc>
        <w:tc>
          <w:tcPr>
            <w:tcW w:w="2159" w:type="dxa"/>
            <w:vMerge w:val="restart"/>
            <w:tcBorders>
              <w:top w:val="single" w:color="000000" w:sz="2" w:space="0"/>
              <w:left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是否适用告知承诺制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trPr>
        <w:tc>
          <w:tcPr>
            <w:tcW w:w="547" w:type="dxa"/>
            <w:vMerge w:val="continue"/>
            <w:tcBorders>
              <w:top w:val="single" w:color="000000" w:sz="2"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黑体" w:hAnsi="黑体" w:eastAsia="黑体" w:cs="黑体"/>
                <w:sz w:val="28"/>
                <w:szCs w:val="28"/>
              </w:rPr>
            </w:pPr>
          </w:p>
        </w:tc>
        <w:tc>
          <w:tcPr>
            <w:tcW w:w="1979" w:type="dxa"/>
            <w:vMerge w:val="continue"/>
            <w:tcBorders>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黑体" w:hAnsi="黑体" w:eastAsia="黑体" w:cs="黑体"/>
                <w:sz w:val="28"/>
                <w:szCs w:val="28"/>
              </w:rPr>
            </w:pPr>
          </w:p>
        </w:tc>
        <w:tc>
          <w:tcPr>
            <w:tcW w:w="1979" w:type="dxa"/>
            <w:vMerge w:val="continue"/>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黑体" w:hAnsi="黑体" w:eastAsia="黑体" w:cs="黑体"/>
                <w:sz w:val="28"/>
                <w:szCs w:val="28"/>
              </w:rPr>
            </w:pPr>
          </w:p>
        </w:tc>
        <w:tc>
          <w:tcPr>
            <w:tcW w:w="1981" w:type="dxa"/>
            <w:vMerge w:val="continue"/>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黑体" w:hAnsi="黑体" w:eastAsia="黑体" w:cs="黑体"/>
                <w:sz w:val="28"/>
                <w:szCs w:val="28"/>
              </w:rPr>
            </w:pPr>
          </w:p>
        </w:tc>
        <w:tc>
          <w:tcPr>
            <w:tcW w:w="5381" w:type="dxa"/>
            <w:vMerge w:val="continue"/>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黑体" w:hAnsi="黑体" w:eastAsia="黑体" w:cs="黑体"/>
                <w:sz w:val="28"/>
                <w:szCs w:val="28"/>
              </w:rPr>
            </w:pP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sz w:val="28"/>
                <w:szCs w:val="28"/>
                <w:lang w:eastAsia="zh-CN"/>
              </w:rPr>
            </w:pPr>
            <w:r>
              <w:rPr>
                <w:rFonts w:hint="eastAsia" w:ascii="黑体" w:hAnsi="黑体" w:eastAsia="黑体" w:cs="黑体"/>
                <w:sz w:val="28"/>
                <w:szCs w:val="28"/>
                <w:lang w:val="en-US" w:eastAsia="zh-CN"/>
              </w:rPr>
              <w:t>取消</w:t>
            </w:r>
          </w:p>
        </w:tc>
        <w:tc>
          <w:tcPr>
            <w:tcW w:w="1054" w:type="dxa"/>
            <w:tcBorders>
              <w:top w:val="single" w:color="000000" w:sz="2"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sz w:val="28"/>
                <w:szCs w:val="28"/>
              </w:rPr>
            </w:pPr>
            <w:r>
              <w:rPr>
                <w:rFonts w:hint="eastAsia" w:ascii="黑体" w:hAnsi="黑体" w:eastAsia="黑体" w:cs="黑体"/>
                <w:sz w:val="28"/>
                <w:szCs w:val="28"/>
              </w:rPr>
              <w:t>保留</w:t>
            </w:r>
          </w:p>
        </w:tc>
        <w:tc>
          <w:tcPr>
            <w:tcW w:w="2159" w:type="dxa"/>
            <w:vMerge w:val="continue"/>
            <w:tcBorders>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trPr>
        <w:tc>
          <w:tcPr>
            <w:tcW w:w="547"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39</w:t>
            </w:r>
          </w:p>
        </w:tc>
        <w:tc>
          <w:tcPr>
            <w:tcW w:w="1979" w:type="dxa"/>
            <w:vMerge w:val="restart"/>
            <w:tcBorders>
              <w:top w:val="single" w:color="auto" w:sz="4" w:space="0"/>
              <w:left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sz w:val="28"/>
                <w:szCs w:val="28"/>
              </w:rPr>
              <w:t>基层法律服务工作者执业证遗失补发</w:t>
            </w:r>
          </w:p>
        </w:tc>
        <w:tc>
          <w:tcPr>
            <w:tcW w:w="1979" w:type="dxa"/>
            <w:vMerge w:val="restart"/>
            <w:tcBorders>
              <w:top w:val="single" w:color="000000" w:sz="2" w:space="0"/>
              <w:left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sz w:val="28"/>
                <w:szCs w:val="28"/>
              </w:rPr>
              <w:t>公共服务</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sz w:val="28"/>
                <w:szCs w:val="28"/>
              </w:rPr>
              <w:t>基层法律服务工作者申请更换补发执业证登记表</w:t>
            </w:r>
          </w:p>
        </w:tc>
        <w:tc>
          <w:tcPr>
            <w:tcW w:w="5381" w:type="dxa"/>
            <w:vMerge w:val="restart"/>
            <w:tcBorders>
              <w:top w:val="single" w:color="000000" w:sz="2" w:space="0"/>
              <w:left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《基层法律服务工作者管理办法》（司法部令第138号）第十七条：</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sz w:val="21"/>
                <w:szCs w:val="21"/>
              </w:rPr>
              <w:t>《基层法律服务工作者执业证》遗失或者损坏无法使用的，持证人应当立即向所在地县级司法行政机关或者直辖市的区（县）司法行政机关申请办理补发或更换手续。</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仿宋_GB2312" w:hAnsi="仿宋_GB2312" w:eastAsia="仿宋_GB2312" w:cs="仿宋_GB2312"/>
                <w:color w:val="auto"/>
                <w:kern w:val="0"/>
                <w:sz w:val="28"/>
                <w:szCs w:val="28"/>
                <w:lang w:val="en-US" w:eastAsia="zh-CN" w:bidi="ar"/>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仿宋_GB2312" w:hAnsi="仿宋_GB2312" w:eastAsia="仿宋_GB2312" w:cs="仿宋_GB2312"/>
                <w:color w:val="auto"/>
                <w:kern w:val="0"/>
                <w:sz w:val="28"/>
                <w:szCs w:val="28"/>
                <w:lang w:val="en-US" w:eastAsia="zh-CN" w:bidi="ar"/>
              </w:rPr>
            </w:pPr>
            <w:r>
              <w:rPr>
                <w:rFonts w:hint="eastAsia" w:ascii="仿宋" w:hAnsi="仿宋" w:eastAsia="仿宋" w:cs="仿宋"/>
                <w:sz w:val="28"/>
                <w:szCs w:val="28"/>
                <w:lang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trPr>
        <w:tc>
          <w:tcPr>
            <w:tcW w:w="547"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40</w:t>
            </w:r>
          </w:p>
        </w:tc>
        <w:tc>
          <w:tcPr>
            <w:tcW w:w="1979" w:type="dxa"/>
            <w:vMerge w:val="continue"/>
            <w:tcBorders>
              <w:left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979" w:type="dxa"/>
            <w:vMerge w:val="continue"/>
            <w:tcBorders>
              <w:left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居民身份证</w:t>
            </w:r>
          </w:p>
        </w:tc>
        <w:tc>
          <w:tcPr>
            <w:tcW w:w="5381" w:type="dxa"/>
            <w:vMerge w:val="continue"/>
            <w:tcBorders>
              <w:left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1"/>
                <w:szCs w:val="21"/>
              </w:rPr>
            </w:pP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val="en-US" w:eastAsia="zh-CN"/>
              </w:rPr>
            </w:pPr>
            <w:r>
              <w:rPr>
                <w:rFonts w:hint="eastAsia" w:ascii="Arial" w:hAnsi="Arial" w:eastAsia="仿宋" w:cs="Arial"/>
                <w:sz w:val="28"/>
                <w:szCs w:val="28"/>
                <w:lang w:val="en-US" w:eastAsia="zh-CN"/>
              </w:rPr>
              <w:t>取消</w:t>
            </w: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trPr>
        <w:tc>
          <w:tcPr>
            <w:tcW w:w="547"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41</w:t>
            </w:r>
          </w:p>
        </w:tc>
        <w:tc>
          <w:tcPr>
            <w:tcW w:w="1979" w:type="dxa"/>
            <w:vMerge w:val="continue"/>
            <w:tcBorders>
              <w:left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979" w:type="dxa"/>
            <w:vMerge w:val="continue"/>
            <w:tcBorders>
              <w:left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当地报纸刊登的丢失法律服务工作者执业证的启事复印件</w:t>
            </w:r>
          </w:p>
        </w:tc>
        <w:tc>
          <w:tcPr>
            <w:tcW w:w="5381" w:type="dxa"/>
            <w:vMerge w:val="continue"/>
            <w:tcBorders>
              <w:left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1"/>
                <w:szCs w:val="21"/>
              </w:rPr>
            </w:pP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仿宋" w:hAnsi="仿宋" w:eastAsia="仿宋" w:cs="仿宋"/>
                <w:sz w:val="28"/>
                <w:szCs w:val="28"/>
                <w:lang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是</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trPr>
        <w:tc>
          <w:tcPr>
            <w:tcW w:w="547"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42</w:t>
            </w:r>
          </w:p>
        </w:tc>
        <w:tc>
          <w:tcPr>
            <w:tcW w:w="1979" w:type="dxa"/>
            <w:vMerge w:val="continue"/>
            <w:tcBorders>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979" w:type="dxa"/>
            <w:vMerge w:val="continue"/>
            <w:tcBorders>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照片</w:t>
            </w:r>
          </w:p>
        </w:tc>
        <w:tc>
          <w:tcPr>
            <w:tcW w:w="5381" w:type="dxa"/>
            <w:vMerge w:val="continue"/>
            <w:tcBorders>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1"/>
                <w:szCs w:val="21"/>
              </w:rPr>
            </w:pP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仿宋" w:hAnsi="仿宋" w:eastAsia="仿宋" w:cs="仿宋"/>
                <w:sz w:val="28"/>
                <w:szCs w:val="28"/>
                <w:lang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否</w:t>
            </w:r>
          </w:p>
        </w:tc>
      </w:tr>
    </w:tbl>
    <w:p/>
    <w:p>
      <w:pPr>
        <w:jc w:val="center"/>
        <w:rPr>
          <w:rFonts w:hint="eastAsia" w:ascii="方正小标宋简体" w:hAnsi="方正小标宋简体" w:eastAsia="方正小标宋简体" w:cs="方正小标宋简体"/>
          <w:spacing w:val="7"/>
          <w:kern w:val="0"/>
          <w:sz w:val="44"/>
          <w:szCs w:val="44"/>
          <w:lang w:val="en-US" w:eastAsia="zh-CN"/>
        </w:rPr>
      </w:pPr>
    </w:p>
    <w:p>
      <w:pPr>
        <w:jc w:val="center"/>
        <w:rPr>
          <w:rFonts w:hint="eastAsia" w:ascii="方正小标宋简体" w:hAnsi="方正小标宋简体" w:eastAsia="方正小标宋简体" w:cs="方正小标宋简体"/>
          <w:spacing w:val="7"/>
          <w:kern w:val="0"/>
          <w:sz w:val="44"/>
          <w:szCs w:val="44"/>
          <w:lang w:val="en-US" w:eastAsia="zh-CN"/>
        </w:rPr>
      </w:pPr>
    </w:p>
    <w:p>
      <w:pPr>
        <w:jc w:val="center"/>
        <w:rPr>
          <w:rFonts w:hint="eastAsia" w:ascii="方正小标宋简体" w:hAnsi="方正小标宋简体" w:eastAsia="方正小标宋简体" w:cs="方正小标宋简体"/>
          <w:spacing w:val="7"/>
          <w:kern w:val="0"/>
          <w:sz w:val="44"/>
          <w:szCs w:val="44"/>
          <w:lang w:val="en-US" w:eastAsia="zh-CN"/>
        </w:rPr>
      </w:pPr>
    </w:p>
    <w:p>
      <w:pPr>
        <w:jc w:val="center"/>
        <w:rPr>
          <w:rFonts w:hint="default" w:ascii="方正小标宋简体" w:hAnsi="方正小标宋简体" w:eastAsia="方正小标宋简体" w:cs="方正小标宋简体"/>
          <w:spacing w:val="7"/>
          <w:kern w:val="0"/>
          <w:sz w:val="44"/>
          <w:szCs w:val="44"/>
          <w:lang w:val="en-US" w:eastAsia="zh-CN"/>
        </w:rPr>
      </w:pPr>
      <w:r>
        <w:rPr>
          <w:rFonts w:hint="eastAsia" w:ascii="方正小标宋简体" w:hAnsi="方正小标宋简体" w:eastAsia="方正小标宋简体" w:cs="方正小标宋简体"/>
          <w:spacing w:val="7"/>
          <w:kern w:val="0"/>
          <w:sz w:val="44"/>
          <w:szCs w:val="44"/>
          <w:lang w:val="en-US" w:eastAsia="zh-CN"/>
        </w:rPr>
        <w:t>潘集区政务服务事项所需证明材料清理结果一览表</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小标宋简体" w:hAnsi="方正小标宋简体" w:eastAsia="方正小标宋简体" w:cs="方正小标宋简体"/>
          <w:spacing w:val="7"/>
          <w:kern w:val="0"/>
          <w:sz w:val="44"/>
          <w:szCs w:val="44"/>
          <w:lang w:val="en-US" w:eastAsia="zh-CN"/>
        </w:rPr>
      </w:pPr>
    </w:p>
    <w:tbl>
      <w:tblPr>
        <w:tblStyle w:val="4"/>
        <w:tblW w:w="16133" w:type="dxa"/>
        <w:tblInd w:w="-1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47"/>
        <w:gridCol w:w="1979"/>
        <w:gridCol w:w="1979"/>
        <w:gridCol w:w="1981"/>
        <w:gridCol w:w="5381"/>
        <w:gridCol w:w="1053"/>
        <w:gridCol w:w="1054"/>
        <w:gridCol w:w="21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4" w:hRule="atLeast"/>
        </w:trPr>
        <w:tc>
          <w:tcPr>
            <w:tcW w:w="547" w:type="dxa"/>
            <w:vMerge w:val="restart"/>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sz w:val="28"/>
                <w:szCs w:val="28"/>
              </w:rPr>
            </w:pPr>
            <w:r>
              <w:rPr>
                <w:rFonts w:hint="eastAsia" w:ascii="黑体" w:hAnsi="黑体" w:eastAsia="黑体" w:cs="黑体"/>
                <w:sz w:val="28"/>
                <w:szCs w:val="28"/>
              </w:rPr>
              <w:t>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sz w:val="28"/>
                <w:szCs w:val="28"/>
              </w:rPr>
            </w:pPr>
            <w:r>
              <w:rPr>
                <w:rFonts w:hint="eastAsia" w:ascii="黑体" w:hAnsi="黑体" w:eastAsia="黑体" w:cs="黑体"/>
                <w:sz w:val="28"/>
                <w:szCs w:val="28"/>
              </w:rPr>
              <w:t>号</w:t>
            </w:r>
          </w:p>
        </w:tc>
        <w:tc>
          <w:tcPr>
            <w:tcW w:w="1979" w:type="dxa"/>
            <w:vMerge w:val="restart"/>
            <w:tcBorders>
              <w:top w:val="single" w:color="000000" w:sz="2" w:space="0"/>
              <w:left w:val="single" w:color="000000" w:sz="2" w:space="0"/>
              <w:right w:val="single" w:color="auto" w:sz="4"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服务事项</w:t>
            </w:r>
          </w:p>
        </w:tc>
        <w:tc>
          <w:tcPr>
            <w:tcW w:w="1979" w:type="dxa"/>
            <w:vMerge w:val="restart"/>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事项类型</w:t>
            </w:r>
          </w:p>
        </w:tc>
        <w:tc>
          <w:tcPr>
            <w:tcW w:w="1981" w:type="dxa"/>
            <w:vMerge w:val="restart"/>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黑体" w:hAnsi="黑体" w:eastAsia="黑体" w:cs="黑体"/>
                <w:sz w:val="28"/>
                <w:szCs w:val="28"/>
                <w:lang w:val="en-US" w:eastAsia="zh-CN"/>
              </w:rPr>
            </w:pPr>
            <w:r>
              <w:rPr>
                <w:rFonts w:hint="eastAsia" w:ascii="黑体" w:hAnsi="黑体" w:eastAsia="黑体" w:cs="黑体"/>
                <w:sz w:val="28"/>
                <w:szCs w:val="28"/>
              </w:rPr>
              <w:t>证明</w:t>
            </w:r>
            <w:r>
              <w:rPr>
                <w:rFonts w:hint="eastAsia" w:ascii="黑体" w:hAnsi="黑体" w:eastAsia="黑体" w:cs="黑体"/>
                <w:sz w:val="28"/>
                <w:szCs w:val="28"/>
                <w:lang w:val="en-US" w:eastAsia="zh-CN"/>
              </w:rPr>
              <w:t>材料</w:t>
            </w:r>
          </w:p>
        </w:tc>
        <w:tc>
          <w:tcPr>
            <w:tcW w:w="5381" w:type="dxa"/>
            <w:vMerge w:val="restart"/>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sz w:val="28"/>
                <w:szCs w:val="28"/>
              </w:rPr>
            </w:pPr>
            <w:r>
              <w:rPr>
                <w:rFonts w:hint="eastAsia" w:ascii="黑体" w:hAnsi="黑体" w:eastAsia="黑体" w:cs="黑体"/>
                <w:sz w:val="28"/>
                <w:szCs w:val="28"/>
              </w:rPr>
              <w:t>设定依据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sz w:val="28"/>
                <w:szCs w:val="28"/>
              </w:rPr>
            </w:pPr>
            <w:r>
              <w:rPr>
                <w:rFonts w:hint="eastAsia" w:ascii="黑体" w:hAnsi="黑体" w:eastAsia="黑体" w:cs="黑体"/>
                <w:sz w:val="28"/>
                <w:szCs w:val="28"/>
              </w:rPr>
              <w:t>（名称、文号</w:t>
            </w:r>
            <w:r>
              <w:rPr>
                <w:rFonts w:hint="eastAsia" w:ascii="黑体" w:hAnsi="黑体" w:eastAsia="黑体" w:cs="黑体"/>
                <w:sz w:val="28"/>
                <w:szCs w:val="28"/>
                <w:lang w:eastAsia="zh-CN"/>
              </w:rPr>
              <w:t>、条款</w:t>
            </w:r>
            <w:r>
              <w:rPr>
                <w:rFonts w:hint="eastAsia" w:ascii="黑体" w:hAnsi="黑体" w:eastAsia="黑体" w:cs="黑体"/>
                <w:sz w:val="28"/>
                <w:szCs w:val="28"/>
              </w:rPr>
              <w:t>）</w:t>
            </w:r>
          </w:p>
        </w:tc>
        <w:tc>
          <w:tcPr>
            <w:tcW w:w="2107" w:type="dxa"/>
            <w:gridSpan w:val="2"/>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sz w:val="28"/>
                <w:szCs w:val="28"/>
              </w:rPr>
            </w:pPr>
            <w:r>
              <w:rPr>
                <w:rFonts w:hint="eastAsia" w:ascii="黑体" w:hAnsi="黑体" w:eastAsia="黑体" w:cs="黑体"/>
                <w:sz w:val="28"/>
                <w:szCs w:val="28"/>
              </w:rPr>
              <w:t>清理意见</w:t>
            </w:r>
          </w:p>
        </w:tc>
        <w:tc>
          <w:tcPr>
            <w:tcW w:w="2159" w:type="dxa"/>
            <w:vMerge w:val="restart"/>
            <w:tcBorders>
              <w:top w:val="single" w:color="000000" w:sz="2" w:space="0"/>
              <w:left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是否适用告知承诺制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trPr>
        <w:tc>
          <w:tcPr>
            <w:tcW w:w="547" w:type="dxa"/>
            <w:vMerge w:val="continue"/>
            <w:tcBorders>
              <w:top w:val="single" w:color="000000" w:sz="2"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黑体" w:hAnsi="黑体" w:eastAsia="黑体" w:cs="黑体"/>
                <w:sz w:val="28"/>
                <w:szCs w:val="28"/>
              </w:rPr>
            </w:pPr>
          </w:p>
        </w:tc>
        <w:tc>
          <w:tcPr>
            <w:tcW w:w="1979" w:type="dxa"/>
            <w:vMerge w:val="continue"/>
            <w:tcBorders>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黑体" w:hAnsi="黑体" w:eastAsia="黑体" w:cs="黑体"/>
                <w:sz w:val="28"/>
                <w:szCs w:val="28"/>
              </w:rPr>
            </w:pPr>
          </w:p>
        </w:tc>
        <w:tc>
          <w:tcPr>
            <w:tcW w:w="1979" w:type="dxa"/>
            <w:vMerge w:val="continue"/>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黑体" w:hAnsi="黑体" w:eastAsia="黑体" w:cs="黑体"/>
                <w:sz w:val="28"/>
                <w:szCs w:val="28"/>
              </w:rPr>
            </w:pPr>
          </w:p>
        </w:tc>
        <w:tc>
          <w:tcPr>
            <w:tcW w:w="1981" w:type="dxa"/>
            <w:vMerge w:val="continue"/>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黑体" w:hAnsi="黑体" w:eastAsia="黑体" w:cs="黑体"/>
                <w:sz w:val="28"/>
                <w:szCs w:val="28"/>
              </w:rPr>
            </w:pPr>
          </w:p>
        </w:tc>
        <w:tc>
          <w:tcPr>
            <w:tcW w:w="5381" w:type="dxa"/>
            <w:vMerge w:val="continue"/>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黑体" w:hAnsi="黑体" w:eastAsia="黑体" w:cs="黑体"/>
                <w:sz w:val="28"/>
                <w:szCs w:val="28"/>
              </w:rPr>
            </w:pP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sz w:val="28"/>
                <w:szCs w:val="28"/>
                <w:lang w:eastAsia="zh-CN"/>
              </w:rPr>
            </w:pPr>
            <w:r>
              <w:rPr>
                <w:rFonts w:hint="eastAsia" w:ascii="黑体" w:hAnsi="黑体" w:eastAsia="黑体" w:cs="黑体"/>
                <w:sz w:val="28"/>
                <w:szCs w:val="28"/>
                <w:lang w:val="en-US" w:eastAsia="zh-CN"/>
              </w:rPr>
              <w:t>取消</w:t>
            </w:r>
          </w:p>
        </w:tc>
        <w:tc>
          <w:tcPr>
            <w:tcW w:w="1054" w:type="dxa"/>
            <w:tcBorders>
              <w:top w:val="single" w:color="000000" w:sz="2"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sz w:val="28"/>
                <w:szCs w:val="28"/>
              </w:rPr>
            </w:pPr>
            <w:r>
              <w:rPr>
                <w:rFonts w:hint="eastAsia" w:ascii="黑体" w:hAnsi="黑体" w:eastAsia="黑体" w:cs="黑体"/>
                <w:sz w:val="28"/>
                <w:szCs w:val="28"/>
              </w:rPr>
              <w:t>保留</w:t>
            </w:r>
          </w:p>
        </w:tc>
        <w:tc>
          <w:tcPr>
            <w:tcW w:w="2159" w:type="dxa"/>
            <w:vMerge w:val="continue"/>
            <w:tcBorders>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trPr>
        <w:tc>
          <w:tcPr>
            <w:tcW w:w="16133" w:type="dxa"/>
            <w:gridSpan w:val="8"/>
            <w:tcBorders>
              <w:top w:val="single" w:color="000000" w:sz="2"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区扶贫开发工作办公室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3"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979" w:type="dxa"/>
            <w:tcBorders>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村级光伏扶贫电站建设</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val="en-US" w:eastAsia="zh-CN"/>
              </w:rPr>
              <w:t>公共服务</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val="en-US" w:eastAsia="zh-CN"/>
              </w:rPr>
              <w:t>光伏项目备案表、申请表</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sz w:val="28"/>
                <w:szCs w:val="28"/>
                <w:lang w:eastAsia="zh-CN"/>
              </w:rPr>
              <w:t>《安徽省人民政府办公厅关于实施光伏扶贫的指导意见》（皖政办〔2015〕34号）</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eastAsia="zh-CN"/>
              </w:rPr>
              <w:t>保留</w:t>
            </w:r>
          </w:p>
        </w:tc>
        <w:tc>
          <w:tcPr>
            <w:tcW w:w="2159" w:type="dxa"/>
            <w:tcBorders>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57"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1979" w:type="dxa"/>
            <w:tcBorders>
              <w:top w:val="single" w:color="auto" w:sz="4" w:space="0"/>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贫困村创业致富带头人培训</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val="en-US" w:eastAsia="zh-CN"/>
              </w:rPr>
              <w:t>公共服务</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val="en-US" w:eastAsia="zh-CN"/>
              </w:rPr>
              <w:t>贫困村创业致富带头人培训工程培训对象申报表</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sz w:val="28"/>
                <w:szCs w:val="28"/>
                <w:lang w:eastAsia="zh-CN"/>
              </w:rPr>
              <w:t>《关于大力培育贫困村创业致富带头人的实施意见》</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否</w:t>
            </w:r>
          </w:p>
        </w:tc>
      </w:tr>
    </w:tbl>
    <w:p/>
    <w:p/>
    <w:p/>
    <w:p/>
    <w:p/>
    <w:p>
      <w:pPr>
        <w:jc w:val="center"/>
        <w:rPr>
          <w:rFonts w:hint="default" w:ascii="方正小标宋简体" w:hAnsi="方正小标宋简体" w:eastAsia="方正小标宋简体" w:cs="方正小标宋简体"/>
          <w:spacing w:val="7"/>
          <w:kern w:val="0"/>
          <w:sz w:val="44"/>
          <w:szCs w:val="44"/>
          <w:lang w:val="en-US" w:eastAsia="zh-CN"/>
        </w:rPr>
      </w:pPr>
      <w:r>
        <w:rPr>
          <w:rFonts w:hint="eastAsia" w:ascii="方正小标宋简体" w:hAnsi="方正小标宋简体" w:eastAsia="方正小标宋简体" w:cs="方正小标宋简体"/>
          <w:spacing w:val="7"/>
          <w:kern w:val="0"/>
          <w:sz w:val="44"/>
          <w:szCs w:val="44"/>
          <w:lang w:val="en-US" w:eastAsia="zh-CN"/>
        </w:rPr>
        <w:t>潘集区政务服务事项所需证明材料清理结果一览表</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小标宋简体" w:hAnsi="方正小标宋简体" w:eastAsia="方正小标宋简体" w:cs="方正小标宋简体"/>
          <w:spacing w:val="7"/>
          <w:kern w:val="0"/>
          <w:sz w:val="44"/>
          <w:szCs w:val="44"/>
          <w:lang w:val="en-US" w:eastAsia="zh-CN"/>
        </w:rPr>
      </w:pPr>
    </w:p>
    <w:tbl>
      <w:tblPr>
        <w:tblStyle w:val="4"/>
        <w:tblW w:w="16133" w:type="dxa"/>
        <w:tblInd w:w="-1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47"/>
        <w:gridCol w:w="1979"/>
        <w:gridCol w:w="1979"/>
        <w:gridCol w:w="1981"/>
        <w:gridCol w:w="5381"/>
        <w:gridCol w:w="1053"/>
        <w:gridCol w:w="1054"/>
        <w:gridCol w:w="21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4" w:hRule="atLeast"/>
        </w:trPr>
        <w:tc>
          <w:tcPr>
            <w:tcW w:w="547" w:type="dxa"/>
            <w:vMerge w:val="restart"/>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sz w:val="28"/>
                <w:szCs w:val="28"/>
              </w:rPr>
            </w:pPr>
            <w:r>
              <w:rPr>
                <w:rFonts w:hint="eastAsia" w:ascii="黑体" w:hAnsi="黑体" w:eastAsia="黑体" w:cs="黑体"/>
                <w:sz w:val="28"/>
                <w:szCs w:val="28"/>
              </w:rPr>
              <w:t>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sz w:val="28"/>
                <w:szCs w:val="28"/>
              </w:rPr>
            </w:pPr>
            <w:r>
              <w:rPr>
                <w:rFonts w:hint="eastAsia" w:ascii="黑体" w:hAnsi="黑体" w:eastAsia="黑体" w:cs="黑体"/>
                <w:sz w:val="28"/>
                <w:szCs w:val="28"/>
              </w:rPr>
              <w:t>号</w:t>
            </w:r>
          </w:p>
        </w:tc>
        <w:tc>
          <w:tcPr>
            <w:tcW w:w="1979" w:type="dxa"/>
            <w:vMerge w:val="restart"/>
            <w:tcBorders>
              <w:top w:val="single" w:color="000000" w:sz="2" w:space="0"/>
              <w:left w:val="single" w:color="000000" w:sz="2" w:space="0"/>
              <w:right w:val="single" w:color="auto" w:sz="4"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服务事项</w:t>
            </w:r>
          </w:p>
        </w:tc>
        <w:tc>
          <w:tcPr>
            <w:tcW w:w="1979" w:type="dxa"/>
            <w:vMerge w:val="restart"/>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事项类型</w:t>
            </w:r>
          </w:p>
        </w:tc>
        <w:tc>
          <w:tcPr>
            <w:tcW w:w="1981" w:type="dxa"/>
            <w:vMerge w:val="restart"/>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黑体" w:hAnsi="黑体" w:eastAsia="黑体" w:cs="黑体"/>
                <w:sz w:val="28"/>
                <w:szCs w:val="28"/>
                <w:lang w:val="en-US" w:eastAsia="zh-CN"/>
              </w:rPr>
            </w:pPr>
            <w:r>
              <w:rPr>
                <w:rFonts w:hint="eastAsia" w:ascii="黑体" w:hAnsi="黑体" w:eastAsia="黑体" w:cs="黑体"/>
                <w:sz w:val="28"/>
                <w:szCs w:val="28"/>
              </w:rPr>
              <w:t>证明</w:t>
            </w:r>
            <w:r>
              <w:rPr>
                <w:rFonts w:hint="eastAsia" w:ascii="黑体" w:hAnsi="黑体" w:eastAsia="黑体" w:cs="黑体"/>
                <w:sz w:val="28"/>
                <w:szCs w:val="28"/>
                <w:lang w:val="en-US" w:eastAsia="zh-CN"/>
              </w:rPr>
              <w:t>材料</w:t>
            </w:r>
          </w:p>
        </w:tc>
        <w:tc>
          <w:tcPr>
            <w:tcW w:w="5381" w:type="dxa"/>
            <w:vMerge w:val="restart"/>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sz w:val="28"/>
                <w:szCs w:val="28"/>
              </w:rPr>
            </w:pPr>
            <w:r>
              <w:rPr>
                <w:rFonts w:hint="eastAsia" w:ascii="黑体" w:hAnsi="黑体" w:eastAsia="黑体" w:cs="黑体"/>
                <w:sz w:val="28"/>
                <w:szCs w:val="28"/>
              </w:rPr>
              <w:t>设定依据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sz w:val="28"/>
                <w:szCs w:val="28"/>
              </w:rPr>
            </w:pPr>
            <w:r>
              <w:rPr>
                <w:rFonts w:hint="eastAsia" w:ascii="黑体" w:hAnsi="黑体" w:eastAsia="黑体" w:cs="黑体"/>
                <w:sz w:val="28"/>
                <w:szCs w:val="28"/>
              </w:rPr>
              <w:t>（名称、文号</w:t>
            </w:r>
            <w:r>
              <w:rPr>
                <w:rFonts w:hint="eastAsia" w:ascii="黑体" w:hAnsi="黑体" w:eastAsia="黑体" w:cs="黑体"/>
                <w:sz w:val="28"/>
                <w:szCs w:val="28"/>
                <w:lang w:eastAsia="zh-CN"/>
              </w:rPr>
              <w:t>、条款</w:t>
            </w:r>
            <w:r>
              <w:rPr>
                <w:rFonts w:hint="eastAsia" w:ascii="黑体" w:hAnsi="黑体" w:eastAsia="黑体" w:cs="黑体"/>
                <w:sz w:val="28"/>
                <w:szCs w:val="28"/>
              </w:rPr>
              <w:t>）</w:t>
            </w:r>
          </w:p>
        </w:tc>
        <w:tc>
          <w:tcPr>
            <w:tcW w:w="2107" w:type="dxa"/>
            <w:gridSpan w:val="2"/>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sz w:val="28"/>
                <w:szCs w:val="28"/>
              </w:rPr>
            </w:pPr>
            <w:r>
              <w:rPr>
                <w:rFonts w:hint="eastAsia" w:ascii="黑体" w:hAnsi="黑体" w:eastAsia="黑体" w:cs="黑体"/>
                <w:sz w:val="28"/>
                <w:szCs w:val="28"/>
              </w:rPr>
              <w:t>清理意见</w:t>
            </w:r>
          </w:p>
        </w:tc>
        <w:tc>
          <w:tcPr>
            <w:tcW w:w="2159" w:type="dxa"/>
            <w:vMerge w:val="restart"/>
            <w:tcBorders>
              <w:top w:val="single" w:color="000000" w:sz="2" w:space="0"/>
              <w:left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是否适用告知承诺制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trPr>
        <w:tc>
          <w:tcPr>
            <w:tcW w:w="547" w:type="dxa"/>
            <w:vMerge w:val="continue"/>
            <w:tcBorders>
              <w:top w:val="single" w:color="000000" w:sz="2"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黑体" w:hAnsi="黑体" w:eastAsia="黑体" w:cs="黑体"/>
                <w:sz w:val="28"/>
                <w:szCs w:val="28"/>
              </w:rPr>
            </w:pPr>
          </w:p>
        </w:tc>
        <w:tc>
          <w:tcPr>
            <w:tcW w:w="1979" w:type="dxa"/>
            <w:vMerge w:val="continue"/>
            <w:tcBorders>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黑体" w:hAnsi="黑体" w:eastAsia="黑体" w:cs="黑体"/>
                <w:sz w:val="28"/>
                <w:szCs w:val="28"/>
              </w:rPr>
            </w:pPr>
          </w:p>
        </w:tc>
        <w:tc>
          <w:tcPr>
            <w:tcW w:w="1979" w:type="dxa"/>
            <w:vMerge w:val="continue"/>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黑体" w:hAnsi="黑体" w:eastAsia="黑体" w:cs="黑体"/>
                <w:sz w:val="28"/>
                <w:szCs w:val="28"/>
              </w:rPr>
            </w:pPr>
          </w:p>
        </w:tc>
        <w:tc>
          <w:tcPr>
            <w:tcW w:w="1981" w:type="dxa"/>
            <w:vMerge w:val="continue"/>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黑体" w:hAnsi="黑体" w:eastAsia="黑体" w:cs="黑体"/>
                <w:sz w:val="28"/>
                <w:szCs w:val="28"/>
              </w:rPr>
            </w:pPr>
          </w:p>
        </w:tc>
        <w:tc>
          <w:tcPr>
            <w:tcW w:w="5381" w:type="dxa"/>
            <w:vMerge w:val="continue"/>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黑体" w:hAnsi="黑体" w:eastAsia="黑体" w:cs="黑体"/>
                <w:sz w:val="28"/>
                <w:szCs w:val="28"/>
              </w:rPr>
            </w:pP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sz w:val="28"/>
                <w:szCs w:val="28"/>
                <w:lang w:eastAsia="zh-CN"/>
              </w:rPr>
            </w:pPr>
            <w:r>
              <w:rPr>
                <w:rFonts w:hint="eastAsia" w:ascii="黑体" w:hAnsi="黑体" w:eastAsia="黑体" w:cs="黑体"/>
                <w:sz w:val="28"/>
                <w:szCs w:val="28"/>
                <w:lang w:val="en-US" w:eastAsia="zh-CN"/>
              </w:rPr>
              <w:t>取消</w:t>
            </w:r>
          </w:p>
        </w:tc>
        <w:tc>
          <w:tcPr>
            <w:tcW w:w="1054" w:type="dxa"/>
            <w:tcBorders>
              <w:top w:val="single" w:color="000000" w:sz="2"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sz w:val="28"/>
                <w:szCs w:val="28"/>
              </w:rPr>
            </w:pPr>
            <w:r>
              <w:rPr>
                <w:rFonts w:hint="eastAsia" w:ascii="黑体" w:hAnsi="黑体" w:eastAsia="黑体" w:cs="黑体"/>
                <w:sz w:val="28"/>
                <w:szCs w:val="28"/>
              </w:rPr>
              <w:t>保留</w:t>
            </w:r>
          </w:p>
        </w:tc>
        <w:tc>
          <w:tcPr>
            <w:tcW w:w="2159" w:type="dxa"/>
            <w:vMerge w:val="continue"/>
            <w:tcBorders>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trPr>
        <w:tc>
          <w:tcPr>
            <w:tcW w:w="16133" w:type="dxa"/>
            <w:gridSpan w:val="8"/>
            <w:tcBorders>
              <w:top w:val="single" w:color="000000" w:sz="2"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黑体" w:hAnsi="黑体" w:eastAsia="黑体" w:cs="黑体"/>
                <w:sz w:val="28"/>
                <w:szCs w:val="28"/>
                <w:lang w:val="en-US"/>
              </w:rPr>
            </w:pPr>
            <w:r>
              <w:rPr>
                <w:rFonts w:hint="eastAsia" w:ascii="黑体" w:hAnsi="黑体" w:eastAsia="黑体" w:cs="黑体"/>
                <w:sz w:val="28"/>
                <w:szCs w:val="28"/>
                <w:lang w:val="en-US" w:eastAsia="zh-CN"/>
              </w:rPr>
              <w:t>潘集区生态环境分局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0"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979" w:type="dxa"/>
            <w:tcBorders>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rPr>
              <w:t>突发环境事件应急预案备案</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eastAsia="zh-CN"/>
              </w:rPr>
              <w:t>其他行政权力</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distribute"/>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w w:val="80"/>
                <w:sz w:val="21"/>
                <w:szCs w:val="21"/>
              </w:rPr>
              <w:t>突发环境事件应急预案备案表</w:t>
            </w:r>
            <w:r>
              <w:rPr>
                <w:rFonts w:hint="eastAsia" w:ascii="仿宋" w:hAnsi="仿宋" w:eastAsia="仿宋" w:cs="仿宋"/>
                <w:w w:val="80"/>
                <w:sz w:val="21"/>
                <w:szCs w:val="21"/>
                <w:lang w:eastAsia="zh-CN"/>
              </w:rPr>
              <w:t>、环境应急预案及编制说明，环境应急预案包括：环境应急预案的签署发布文件、环境应急预案文本；编制说明包括：编制过程概述、重点内容说明、征求意见及采纳情况说明、评审情况说明</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rPr>
              <w:t>《企业事业单位突发环境事件应急预案备案管理办法（试行）》（环发〔2015〕4号）</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000000" w:sz="2"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保留</w:t>
            </w:r>
          </w:p>
        </w:tc>
        <w:tc>
          <w:tcPr>
            <w:tcW w:w="2159" w:type="dxa"/>
            <w:tcBorders>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93"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1979" w:type="dxa"/>
            <w:tcBorders>
              <w:top w:val="single" w:color="auto" w:sz="4" w:space="0"/>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环境污染损害赔偿纠纷调解</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8"/>
                <w:szCs w:val="28"/>
                <w:lang w:val="en-US" w:eastAsia="zh-CN" w:bidi="ar-SA"/>
              </w:rPr>
            </w:pP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eastAsia="zh-CN"/>
              </w:rPr>
              <w:t>其他行政权力</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distribute"/>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w w:val="80"/>
                <w:sz w:val="21"/>
                <w:szCs w:val="21"/>
              </w:rPr>
              <w:t>纠纷调解申请书和相关证据材料</w:t>
            </w:r>
            <w:r>
              <w:rPr>
                <w:rFonts w:hint="eastAsia" w:ascii="仿宋" w:hAnsi="仿宋" w:eastAsia="仿宋" w:cs="仿宋"/>
                <w:w w:val="80"/>
                <w:sz w:val="21"/>
                <w:szCs w:val="21"/>
                <w:lang w:eastAsia="zh-CN"/>
              </w:rPr>
              <w:t>，纠纷当事人的身份证明：（1）法人应当提供统一的社会信用代码证书复印件和法定代表人（负责人）身份证明；（2）个人提供身份证复印件，纠纷当事人委托他人代理参加纠纷调解的还应当提交以下材料：（1）授权委托书</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rPr>
              <w:t>相关行政调解的规定。</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8" w:hRule="atLeast"/>
        </w:trPr>
        <w:tc>
          <w:tcPr>
            <w:tcW w:w="547" w:type="dxa"/>
            <w:vMerge w:val="restart"/>
            <w:tcBorders>
              <w:top w:val="single" w:color="000000" w:sz="2" w:space="0"/>
              <w:left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sz w:val="28"/>
                <w:szCs w:val="28"/>
              </w:rPr>
            </w:pPr>
            <w:r>
              <w:rPr>
                <w:rFonts w:hint="eastAsia" w:ascii="黑体" w:hAnsi="黑体" w:eastAsia="黑体" w:cs="黑体"/>
                <w:sz w:val="28"/>
                <w:szCs w:val="28"/>
              </w:rPr>
              <w:t>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黑体" w:hAnsi="黑体" w:eastAsia="黑体" w:cs="黑体"/>
                <w:color w:val="auto"/>
                <w:kern w:val="0"/>
                <w:sz w:val="28"/>
                <w:szCs w:val="28"/>
                <w:lang w:val="en-US" w:eastAsia="zh-CN" w:bidi="ar"/>
              </w:rPr>
            </w:pPr>
            <w:r>
              <w:rPr>
                <w:rFonts w:hint="eastAsia" w:ascii="黑体" w:hAnsi="黑体" w:eastAsia="黑体" w:cs="黑体"/>
                <w:sz w:val="28"/>
                <w:szCs w:val="28"/>
              </w:rPr>
              <w:t>号</w:t>
            </w:r>
          </w:p>
        </w:tc>
        <w:tc>
          <w:tcPr>
            <w:tcW w:w="1979" w:type="dxa"/>
            <w:vMerge w:val="restart"/>
            <w:tcBorders>
              <w:top w:val="single" w:color="auto" w:sz="4" w:space="0"/>
              <w:left w:val="single" w:color="000000" w:sz="2" w:space="0"/>
              <w:right w:val="single" w:color="auto" w:sz="4"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黑体" w:hAnsi="黑体" w:eastAsia="黑体" w:cs="黑体"/>
                <w:color w:val="auto"/>
                <w:kern w:val="0"/>
                <w:sz w:val="28"/>
                <w:szCs w:val="28"/>
                <w:lang w:val="en-US" w:eastAsia="zh-CN" w:bidi="ar"/>
              </w:rPr>
            </w:pPr>
            <w:r>
              <w:rPr>
                <w:rFonts w:hint="eastAsia" w:ascii="黑体" w:hAnsi="黑体" w:eastAsia="黑体" w:cs="黑体"/>
                <w:sz w:val="28"/>
                <w:szCs w:val="28"/>
                <w:lang w:val="en-US" w:eastAsia="zh-CN"/>
              </w:rPr>
              <w:t>服务事项</w:t>
            </w:r>
          </w:p>
        </w:tc>
        <w:tc>
          <w:tcPr>
            <w:tcW w:w="1979" w:type="dxa"/>
            <w:vMerge w:val="restart"/>
            <w:tcBorders>
              <w:top w:val="single" w:color="000000" w:sz="2" w:space="0"/>
              <w:left w:val="single" w:color="auto" w:sz="4" w:space="0"/>
              <w:right w:val="single" w:color="auto" w:sz="4"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黑体" w:hAnsi="黑体" w:eastAsia="黑体" w:cs="黑体"/>
                <w:color w:val="auto"/>
                <w:kern w:val="0"/>
                <w:sz w:val="28"/>
                <w:szCs w:val="28"/>
                <w:lang w:val="en-US" w:eastAsia="zh-CN" w:bidi="ar"/>
              </w:rPr>
            </w:pPr>
            <w:r>
              <w:rPr>
                <w:rFonts w:hint="eastAsia" w:ascii="黑体" w:hAnsi="黑体" w:eastAsia="黑体" w:cs="黑体"/>
                <w:sz w:val="28"/>
                <w:szCs w:val="28"/>
                <w:lang w:val="en-US" w:eastAsia="zh-CN"/>
              </w:rPr>
              <w:t>事项类型</w:t>
            </w:r>
          </w:p>
        </w:tc>
        <w:tc>
          <w:tcPr>
            <w:tcW w:w="1981" w:type="dxa"/>
            <w:vMerge w:val="restart"/>
            <w:tcBorders>
              <w:top w:val="single" w:color="000000" w:sz="2" w:space="0"/>
              <w:left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黑体" w:hAnsi="黑体" w:eastAsia="黑体" w:cs="黑体"/>
                <w:color w:val="auto"/>
                <w:kern w:val="0"/>
                <w:sz w:val="28"/>
                <w:szCs w:val="28"/>
                <w:lang w:val="en-US" w:eastAsia="zh-CN" w:bidi="ar"/>
              </w:rPr>
            </w:pPr>
            <w:r>
              <w:rPr>
                <w:rFonts w:hint="eastAsia" w:ascii="黑体" w:hAnsi="黑体" w:eastAsia="黑体" w:cs="黑体"/>
                <w:sz w:val="28"/>
                <w:szCs w:val="28"/>
              </w:rPr>
              <w:t>证明</w:t>
            </w:r>
            <w:r>
              <w:rPr>
                <w:rFonts w:hint="eastAsia" w:ascii="黑体" w:hAnsi="黑体" w:eastAsia="黑体" w:cs="黑体"/>
                <w:sz w:val="28"/>
                <w:szCs w:val="28"/>
                <w:lang w:val="en-US" w:eastAsia="zh-CN"/>
              </w:rPr>
              <w:t>材料</w:t>
            </w:r>
          </w:p>
        </w:tc>
        <w:tc>
          <w:tcPr>
            <w:tcW w:w="5381" w:type="dxa"/>
            <w:vMerge w:val="restart"/>
            <w:tcBorders>
              <w:top w:val="single" w:color="000000" w:sz="2" w:space="0"/>
              <w:left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sz w:val="28"/>
                <w:szCs w:val="28"/>
              </w:rPr>
            </w:pPr>
            <w:r>
              <w:rPr>
                <w:rFonts w:hint="eastAsia" w:ascii="黑体" w:hAnsi="黑体" w:eastAsia="黑体" w:cs="黑体"/>
                <w:sz w:val="28"/>
                <w:szCs w:val="28"/>
              </w:rPr>
              <w:t>设定依据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黑体" w:hAnsi="黑体" w:eastAsia="黑体" w:cs="黑体"/>
                <w:color w:val="auto"/>
                <w:kern w:val="0"/>
                <w:sz w:val="28"/>
                <w:szCs w:val="28"/>
                <w:lang w:val="en-US" w:eastAsia="zh-CN" w:bidi="ar"/>
              </w:rPr>
            </w:pPr>
            <w:r>
              <w:rPr>
                <w:rFonts w:hint="eastAsia" w:ascii="黑体" w:hAnsi="黑体" w:eastAsia="黑体" w:cs="黑体"/>
                <w:sz w:val="28"/>
                <w:szCs w:val="28"/>
              </w:rPr>
              <w:t>（名称、文号</w:t>
            </w:r>
            <w:r>
              <w:rPr>
                <w:rFonts w:hint="eastAsia" w:ascii="黑体" w:hAnsi="黑体" w:eastAsia="黑体" w:cs="黑体"/>
                <w:sz w:val="28"/>
                <w:szCs w:val="28"/>
                <w:lang w:eastAsia="zh-CN"/>
              </w:rPr>
              <w:t>、条款</w:t>
            </w:r>
            <w:r>
              <w:rPr>
                <w:rFonts w:hint="eastAsia" w:ascii="黑体" w:hAnsi="黑体" w:eastAsia="黑体" w:cs="黑体"/>
                <w:sz w:val="28"/>
                <w:szCs w:val="28"/>
              </w:rPr>
              <w:t>）</w:t>
            </w:r>
          </w:p>
        </w:tc>
        <w:tc>
          <w:tcPr>
            <w:tcW w:w="2107" w:type="dxa"/>
            <w:gridSpan w:val="2"/>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黑体" w:hAnsi="黑体" w:eastAsia="黑体" w:cs="黑体"/>
                <w:color w:val="auto"/>
                <w:kern w:val="0"/>
                <w:sz w:val="28"/>
                <w:szCs w:val="28"/>
                <w:lang w:val="en-US" w:eastAsia="zh-CN" w:bidi="ar"/>
              </w:rPr>
            </w:pPr>
            <w:r>
              <w:rPr>
                <w:rFonts w:hint="eastAsia" w:ascii="黑体" w:hAnsi="黑体" w:eastAsia="黑体" w:cs="黑体"/>
                <w:sz w:val="28"/>
                <w:szCs w:val="28"/>
              </w:rPr>
              <w:t>清理意见</w:t>
            </w:r>
          </w:p>
        </w:tc>
        <w:tc>
          <w:tcPr>
            <w:tcW w:w="2159" w:type="dxa"/>
            <w:vMerge w:val="restart"/>
            <w:tcBorders>
              <w:top w:val="single" w:color="auto" w:sz="4" w:space="0"/>
              <w:left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r>
              <w:rPr>
                <w:rFonts w:hint="eastAsia" w:ascii="黑体" w:hAnsi="黑体" w:eastAsia="黑体" w:cs="黑体"/>
                <w:sz w:val="28"/>
                <w:szCs w:val="28"/>
                <w:lang w:val="en-US" w:eastAsia="zh-CN"/>
              </w:rPr>
              <w:t>是否适用告知承诺制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2" w:hRule="atLeast"/>
        </w:trPr>
        <w:tc>
          <w:tcPr>
            <w:tcW w:w="547" w:type="dxa"/>
            <w:vMerge w:val="continue"/>
            <w:tcBorders>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vMerge w:val="continue"/>
            <w:tcBorders>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8"/>
                <w:szCs w:val="28"/>
                <w:lang w:val="en-US" w:eastAsia="zh-CN" w:bidi="ar-SA"/>
              </w:rPr>
            </w:pPr>
          </w:p>
        </w:tc>
        <w:tc>
          <w:tcPr>
            <w:tcW w:w="1979" w:type="dxa"/>
            <w:vMerge w:val="continue"/>
            <w:tcBorders>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lang w:eastAsia="zh-CN"/>
              </w:rPr>
            </w:pPr>
          </w:p>
        </w:tc>
        <w:tc>
          <w:tcPr>
            <w:tcW w:w="1981" w:type="dxa"/>
            <w:vMerge w:val="continue"/>
            <w:tcBorders>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distribute"/>
              <w:textAlignment w:val="auto"/>
              <w:rPr>
                <w:rFonts w:hint="eastAsia" w:ascii="仿宋" w:hAnsi="仿宋" w:eastAsia="仿宋" w:cs="仿宋"/>
                <w:w w:val="80"/>
                <w:sz w:val="21"/>
                <w:szCs w:val="21"/>
              </w:rPr>
            </w:pPr>
          </w:p>
        </w:tc>
        <w:tc>
          <w:tcPr>
            <w:tcW w:w="5381" w:type="dxa"/>
            <w:vMerge w:val="continue"/>
            <w:tcBorders>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黑体" w:hAnsi="黑体" w:eastAsia="黑体" w:cs="黑体"/>
                <w:color w:val="auto"/>
                <w:kern w:val="0"/>
                <w:sz w:val="28"/>
                <w:szCs w:val="28"/>
                <w:lang w:val="en-US" w:eastAsia="zh-CN" w:bidi="ar"/>
              </w:rPr>
            </w:pPr>
            <w:r>
              <w:rPr>
                <w:rFonts w:hint="eastAsia" w:ascii="黑体" w:hAnsi="黑体" w:eastAsia="黑体" w:cs="黑体"/>
                <w:sz w:val="28"/>
                <w:szCs w:val="28"/>
                <w:lang w:val="en-US" w:eastAsia="zh-CN"/>
              </w:rPr>
              <w:t>取消</w:t>
            </w: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黑体" w:hAnsi="黑体" w:eastAsia="黑体" w:cs="黑体"/>
                <w:color w:val="auto"/>
                <w:kern w:val="0"/>
                <w:sz w:val="28"/>
                <w:szCs w:val="28"/>
                <w:lang w:val="en-US" w:eastAsia="zh-CN" w:bidi="ar"/>
              </w:rPr>
            </w:pPr>
            <w:r>
              <w:rPr>
                <w:rFonts w:hint="eastAsia" w:ascii="黑体" w:hAnsi="黑体" w:eastAsia="黑体" w:cs="黑体"/>
                <w:sz w:val="28"/>
                <w:szCs w:val="28"/>
              </w:rPr>
              <w:t>保留</w:t>
            </w:r>
          </w:p>
        </w:tc>
        <w:tc>
          <w:tcPr>
            <w:tcW w:w="2159" w:type="dxa"/>
            <w:vMerge w:val="continue"/>
            <w:tcBorders>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1979" w:type="dxa"/>
            <w:tcBorders>
              <w:top w:val="single" w:color="auto" w:sz="4" w:space="0"/>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rPr>
              <w:t>在城市市区噪声敏感建筑物集中区域内，因生产工艺等特殊需要必须连续作业，并产生环境噪声污染的建筑施工备案</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eastAsia="zh-CN"/>
              </w:rPr>
              <w:t>其他行政权力</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rPr>
              <w:t>县级以上人民政府或者有关主管部门的证明</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rPr>
              <w:t>《安徽省环境保护条例》</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7"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1979" w:type="dxa"/>
            <w:tcBorders>
              <w:top w:val="single" w:color="auto" w:sz="4" w:space="0"/>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rPr>
              <w:t>建设项目环境影响登记表备案</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eastAsia="zh-CN"/>
              </w:rPr>
              <w:t>其他行政权力</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rPr>
              <w:t>建设项目环境影响登记表</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rPr>
              <w:t>《中华人民共和国环境影响评价法》、《建设项目环境影响登记表备案管理办法》</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是</w:t>
            </w:r>
          </w:p>
        </w:tc>
      </w:tr>
    </w:tbl>
    <w:p/>
    <w:p/>
    <w:p/>
    <w:p/>
    <w:p/>
    <w:p>
      <w:pPr>
        <w:jc w:val="center"/>
        <w:rPr>
          <w:rFonts w:ascii="方正小标宋简体" w:hAnsi="方正小标宋简体" w:eastAsia="方正小标宋简体" w:cs="方正小标宋简体"/>
          <w:spacing w:val="7"/>
          <w:kern w:val="0"/>
          <w:sz w:val="44"/>
          <w:szCs w:val="44"/>
        </w:rPr>
      </w:pPr>
      <w:r>
        <w:rPr>
          <w:rFonts w:hint="eastAsia" w:ascii="方正小标宋简体" w:hAnsi="方正小标宋简体" w:eastAsia="方正小标宋简体" w:cs="方正小标宋简体"/>
          <w:spacing w:val="7"/>
          <w:kern w:val="0"/>
          <w:sz w:val="44"/>
          <w:szCs w:val="44"/>
        </w:rPr>
        <w:t>潘集区政务服务事项所需证明材料清理结果一览表</w:t>
      </w:r>
    </w:p>
    <w:p>
      <w:pPr>
        <w:spacing w:line="320" w:lineRule="exact"/>
        <w:jc w:val="center"/>
        <w:rPr>
          <w:rFonts w:ascii="方正小标宋简体" w:hAnsi="方正小标宋简体" w:eastAsia="方正小标宋简体" w:cs="方正小标宋简体"/>
          <w:spacing w:val="7"/>
          <w:kern w:val="0"/>
          <w:sz w:val="44"/>
          <w:szCs w:val="44"/>
        </w:rPr>
      </w:pPr>
    </w:p>
    <w:tbl>
      <w:tblPr>
        <w:tblStyle w:val="4"/>
        <w:tblW w:w="16133" w:type="dxa"/>
        <w:tblInd w:w="-1108" w:type="dxa"/>
        <w:tblLayout w:type="fixed"/>
        <w:tblCellMar>
          <w:top w:w="15" w:type="dxa"/>
          <w:left w:w="15" w:type="dxa"/>
          <w:bottom w:w="15" w:type="dxa"/>
          <w:right w:w="15" w:type="dxa"/>
        </w:tblCellMar>
      </w:tblPr>
      <w:tblGrid>
        <w:gridCol w:w="547"/>
        <w:gridCol w:w="1979"/>
        <w:gridCol w:w="1979"/>
        <w:gridCol w:w="1981"/>
        <w:gridCol w:w="5381"/>
        <w:gridCol w:w="1053"/>
        <w:gridCol w:w="1054"/>
        <w:gridCol w:w="2159"/>
      </w:tblGrid>
      <w:tr>
        <w:tblPrEx>
          <w:tblCellMar>
            <w:top w:w="15" w:type="dxa"/>
            <w:left w:w="15" w:type="dxa"/>
            <w:bottom w:w="15" w:type="dxa"/>
            <w:right w:w="15" w:type="dxa"/>
          </w:tblCellMar>
        </w:tblPrEx>
        <w:trPr>
          <w:trHeight w:val="544" w:hRule="atLeast"/>
        </w:trPr>
        <w:tc>
          <w:tcPr>
            <w:tcW w:w="547" w:type="dxa"/>
            <w:vMerge w:val="restart"/>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黑体" w:hAnsi="黑体" w:eastAsia="黑体" w:cs="黑体"/>
                <w:sz w:val="28"/>
                <w:szCs w:val="28"/>
              </w:rPr>
            </w:pPr>
            <w:r>
              <w:rPr>
                <w:rFonts w:hint="eastAsia" w:ascii="黑体" w:hAnsi="黑体" w:eastAsia="黑体" w:cs="黑体"/>
                <w:sz w:val="28"/>
                <w:szCs w:val="28"/>
              </w:rPr>
              <w:t>序</w:t>
            </w:r>
          </w:p>
          <w:p>
            <w:pPr>
              <w:pStyle w:val="3"/>
              <w:widowControl/>
              <w:spacing w:before="0" w:beforeAutospacing="0" w:after="0" w:afterAutospacing="0" w:line="360" w:lineRule="exact"/>
              <w:jc w:val="center"/>
              <w:rPr>
                <w:rFonts w:ascii="黑体" w:hAnsi="黑体" w:eastAsia="黑体" w:cs="黑体"/>
                <w:sz w:val="28"/>
                <w:szCs w:val="28"/>
              </w:rPr>
            </w:pPr>
            <w:r>
              <w:rPr>
                <w:rFonts w:hint="eastAsia" w:ascii="黑体" w:hAnsi="黑体" w:eastAsia="黑体" w:cs="黑体"/>
                <w:sz w:val="28"/>
                <w:szCs w:val="28"/>
              </w:rPr>
              <w:t>号</w:t>
            </w:r>
          </w:p>
        </w:tc>
        <w:tc>
          <w:tcPr>
            <w:tcW w:w="1979" w:type="dxa"/>
            <w:vMerge w:val="restart"/>
            <w:tcBorders>
              <w:top w:val="single" w:color="000000" w:sz="2" w:space="0"/>
              <w:left w:val="single" w:color="000000" w:sz="2" w:space="0"/>
              <w:right w:val="single" w:color="auto" w:sz="4"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黑体" w:hAnsi="黑体" w:eastAsia="黑体" w:cs="黑体"/>
                <w:sz w:val="28"/>
                <w:szCs w:val="28"/>
              </w:rPr>
            </w:pPr>
            <w:r>
              <w:rPr>
                <w:rFonts w:hint="eastAsia" w:ascii="黑体" w:hAnsi="黑体" w:eastAsia="黑体" w:cs="黑体"/>
                <w:sz w:val="28"/>
                <w:szCs w:val="28"/>
              </w:rPr>
              <w:t>服务事项</w:t>
            </w:r>
          </w:p>
        </w:tc>
        <w:tc>
          <w:tcPr>
            <w:tcW w:w="1979" w:type="dxa"/>
            <w:vMerge w:val="restart"/>
            <w:tcBorders>
              <w:top w:val="single" w:color="000000" w:sz="2" w:space="0"/>
              <w:left w:val="single" w:color="auto" w:sz="4" w:space="0"/>
              <w:bottom w:val="single" w:color="000000" w:sz="2" w:space="0"/>
              <w:right w:val="single" w:color="auto" w:sz="4"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黑体" w:hAnsi="黑体" w:eastAsia="黑体" w:cs="黑体"/>
                <w:sz w:val="28"/>
                <w:szCs w:val="28"/>
              </w:rPr>
            </w:pPr>
            <w:r>
              <w:rPr>
                <w:rFonts w:hint="eastAsia" w:ascii="黑体" w:hAnsi="黑体" w:eastAsia="黑体" w:cs="黑体"/>
                <w:sz w:val="28"/>
                <w:szCs w:val="28"/>
              </w:rPr>
              <w:t>事项类型</w:t>
            </w:r>
          </w:p>
        </w:tc>
        <w:tc>
          <w:tcPr>
            <w:tcW w:w="1981" w:type="dxa"/>
            <w:vMerge w:val="restart"/>
            <w:tcBorders>
              <w:top w:val="single" w:color="000000" w:sz="2" w:space="0"/>
              <w:left w:val="single" w:color="auto" w:sz="4" w:space="0"/>
              <w:bottom w:val="single" w:color="000000" w:sz="2"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黑体" w:hAnsi="黑体" w:eastAsia="黑体" w:cs="黑体"/>
                <w:sz w:val="28"/>
                <w:szCs w:val="28"/>
              </w:rPr>
            </w:pPr>
            <w:r>
              <w:rPr>
                <w:rFonts w:hint="eastAsia" w:ascii="黑体" w:hAnsi="黑体" w:eastAsia="黑体" w:cs="黑体"/>
                <w:sz w:val="28"/>
                <w:szCs w:val="28"/>
              </w:rPr>
              <w:t>证明材料</w:t>
            </w:r>
          </w:p>
        </w:tc>
        <w:tc>
          <w:tcPr>
            <w:tcW w:w="5381" w:type="dxa"/>
            <w:vMerge w:val="restart"/>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黑体" w:hAnsi="黑体" w:eastAsia="黑体" w:cs="黑体"/>
                <w:sz w:val="28"/>
                <w:szCs w:val="28"/>
              </w:rPr>
            </w:pPr>
            <w:r>
              <w:rPr>
                <w:rFonts w:hint="eastAsia" w:ascii="黑体" w:hAnsi="黑体" w:eastAsia="黑体" w:cs="黑体"/>
                <w:sz w:val="28"/>
                <w:szCs w:val="28"/>
              </w:rPr>
              <w:t>设定依据</w:t>
            </w:r>
          </w:p>
          <w:p>
            <w:pPr>
              <w:pStyle w:val="3"/>
              <w:widowControl/>
              <w:spacing w:before="0" w:beforeAutospacing="0" w:after="0" w:afterAutospacing="0" w:line="360" w:lineRule="exact"/>
              <w:jc w:val="center"/>
              <w:rPr>
                <w:rFonts w:ascii="黑体" w:hAnsi="黑体" w:eastAsia="黑体" w:cs="黑体"/>
                <w:sz w:val="28"/>
                <w:szCs w:val="28"/>
              </w:rPr>
            </w:pPr>
            <w:r>
              <w:rPr>
                <w:rFonts w:hint="eastAsia" w:ascii="黑体" w:hAnsi="黑体" w:eastAsia="黑体" w:cs="黑体"/>
                <w:sz w:val="28"/>
                <w:szCs w:val="28"/>
              </w:rPr>
              <w:t>（名称、文号、条款）</w:t>
            </w:r>
          </w:p>
        </w:tc>
        <w:tc>
          <w:tcPr>
            <w:tcW w:w="2107" w:type="dxa"/>
            <w:gridSpan w:val="2"/>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黑体" w:hAnsi="黑体" w:eastAsia="黑体" w:cs="黑体"/>
                <w:sz w:val="28"/>
                <w:szCs w:val="28"/>
              </w:rPr>
            </w:pPr>
            <w:r>
              <w:rPr>
                <w:rFonts w:hint="eastAsia" w:ascii="黑体" w:hAnsi="黑体" w:eastAsia="黑体" w:cs="黑体"/>
                <w:sz w:val="28"/>
                <w:szCs w:val="28"/>
              </w:rPr>
              <w:t>清理意见</w:t>
            </w:r>
          </w:p>
        </w:tc>
        <w:tc>
          <w:tcPr>
            <w:tcW w:w="2159" w:type="dxa"/>
            <w:vMerge w:val="restart"/>
            <w:tcBorders>
              <w:top w:val="single" w:color="000000" w:sz="2" w:space="0"/>
              <w:left w:val="single" w:color="000000" w:sz="2"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黑体" w:hAnsi="黑体" w:eastAsia="黑体" w:cs="黑体"/>
                <w:sz w:val="28"/>
                <w:szCs w:val="28"/>
              </w:rPr>
            </w:pPr>
            <w:r>
              <w:rPr>
                <w:rFonts w:hint="eastAsia" w:ascii="黑体" w:hAnsi="黑体" w:eastAsia="黑体" w:cs="黑体"/>
                <w:sz w:val="28"/>
                <w:szCs w:val="28"/>
              </w:rPr>
              <w:t>是否适用告知承诺制</w:t>
            </w:r>
          </w:p>
        </w:tc>
      </w:tr>
      <w:tr>
        <w:tblPrEx>
          <w:tblCellMar>
            <w:top w:w="15" w:type="dxa"/>
            <w:left w:w="15" w:type="dxa"/>
            <w:bottom w:w="15" w:type="dxa"/>
            <w:right w:w="15" w:type="dxa"/>
          </w:tblCellMar>
        </w:tblPrEx>
        <w:trPr>
          <w:trHeight w:val="552" w:hRule="atLeast"/>
        </w:trPr>
        <w:tc>
          <w:tcPr>
            <w:tcW w:w="547" w:type="dxa"/>
            <w:vMerge w:val="continue"/>
            <w:tcBorders>
              <w:top w:val="single" w:color="000000" w:sz="2" w:space="0"/>
              <w:left w:val="single" w:color="000000" w:sz="2" w:space="0"/>
              <w:bottom w:val="single" w:color="auto" w:sz="4" w:space="0"/>
              <w:right w:val="single" w:color="000000" w:sz="2" w:space="0"/>
            </w:tcBorders>
            <w:tcMar>
              <w:top w:w="0" w:type="dxa"/>
              <w:left w:w="0" w:type="dxa"/>
              <w:bottom w:w="0" w:type="dxa"/>
              <w:right w:w="0" w:type="dxa"/>
            </w:tcMar>
            <w:vAlign w:val="center"/>
          </w:tcPr>
          <w:p>
            <w:pPr>
              <w:widowControl/>
              <w:spacing w:line="360" w:lineRule="exact"/>
              <w:rPr>
                <w:rFonts w:ascii="黑体" w:hAnsi="黑体" w:eastAsia="黑体" w:cs="黑体"/>
                <w:sz w:val="28"/>
                <w:szCs w:val="28"/>
              </w:rPr>
            </w:pPr>
          </w:p>
        </w:tc>
        <w:tc>
          <w:tcPr>
            <w:tcW w:w="1979" w:type="dxa"/>
            <w:vMerge w:val="continue"/>
            <w:tcBorders>
              <w:left w:val="single" w:color="000000" w:sz="2" w:space="0"/>
              <w:bottom w:val="single" w:color="auto" w:sz="4" w:space="0"/>
              <w:right w:val="single" w:color="auto" w:sz="4" w:space="0"/>
            </w:tcBorders>
            <w:tcMar>
              <w:top w:w="0" w:type="dxa"/>
              <w:left w:w="0" w:type="dxa"/>
              <w:bottom w:w="0" w:type="dxa"/>
              <w:right w:w="0" w:type="dxa"/>
            </w:tcMar>
            <w:vAlign w:val="center"/>
          </w:tcPr>
          <w:p>
            <w:pPr>
              <w:widowControl/>
              <w:spacing w:line="360" w:lineRule="exact"/>
              <w:rPr>
                <w:rFonts w:ascii="黑体" w:hAnsi="黑体" w:eastAsia="黑体" w:cs="黑体"/>
                <w:sz w:val="28"/>
                <w:szCs w:val="28"/>
              </w:rPr>
            </w:pPr>
          </w:p>
        </w:tc>
        <w:tc>
          <w:tcPr>
            <w:tcW w:w="1979" w:type="dxa"/>
            <w:vMerge w:val="continue"/>
            <w:tcBorders>
              <w:top w:val="single" w:color="000000" w:sz="2" w:space="0"/>
              <w:left w:val="single" w:color="auto" w:sz="4" w:space="0"/>
              <w:bottom w:val="single" w:color="000000" w:sz="2" w:space="0"/>
              <w:right w:val="single" w:color="auto" w:sz="4" w:space="0"/>
            </w:tcBorders>
            <w:tcMar>
              <w:top w:w="0" w:type="dxa"/>
              <w:left w:w="0" w:type="dxa"/>
              <w:bottom w:w="0" w:type="dxa"/>
              <w:right w:w="0" w:type="dxa"/>
            </w:tcMar>
            <w:vAlign w:val="center"/>
          </w:tcPr>
          <w:p>
            <w:pPr>
              <w:widowControl/>
              <w:spacing w:line="360" w:lineRule="exact"/>
              <w:rPr>
                <w:rFonts w:ascii="黑体" w:hAnsi="黑体" w:eastAsia="黑体" w:cs="黑体"/>
                <w:sz w:val="28"/>
                <w:szCs w:val="28"/>
              </w:rPr>
            </w:pPr>
          </w:p>
        </w:tc>
        <w:tc>
          <w:tcPr>
            <w:tcW w:w="1981" w:type="dxa"/>
            <w:vMerge w:val="continue"/>
            <w:tcBorders>
              <w:top w:val="single" w:color="000000" w:sz="2" w:space="0"/>
              <w:left w:val="single" w:color="auto" w:sz="4" w:space="0"/>
              <w:bottom w:val="single" w:color="000000" w:sz="2" w:space="0"/>
              <w:right w:val="single" w:color="000000" w:sz="2" w:space="0"/>
            </w:tcBorders>
            <w:tcMar>
              <w:top w:w="0" w:type="dxa"/>
              <w:left w:w="0" w:type="dxa"/>
              <w:bottom w:w="0" w:type="dxa"/>
              <w:right w:w="0" w:type="dxa"/>
            </w:tcMar>
            <w:vAlign w:val="center"/>
          </w:tcPr>
          <w:p>
            <w:pPr>
              <w:widowControl/>
              <w:spacing w:line="360" w:lineRule="exact"/>
              <w:rPr>
                <w:rFonts w:ascii="黑体" w:hAnsi="黑体" w:eastAsia="黑体" w:cs="黑体"/>
                <w:sz w:val="28"/>
                <w:szCs w:val="28"/>
              </w:rPr>
            </w:pPr>
          </w:p>
        </w:tc>
        <w:tc>
          <w:tcPr>
            <w:tcW w:w="5381" w:type="dxa"/>
            <w:vMerge w:val="continue"/>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widowControl/>
              <w:spacing w:line="360" w:lineRule="exact"/>
              <w:rPr>
                <w:rFonts w:ascii="黑体" w:hAnsi="黑体" w:eastAsia="黑体" w:cs="黑体"/>
                <w:sz w:val="28"/>
                <w:szCs w:val="28"/>
              </w:rPr>
            </w:pPr>
          </w:p>
        </w:tc>
        <w:tc>
          <w:tcPr>
            <w:tcW w:w="105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黑体" w:hAnsi="黑体" w:eastAsia="黑体" w:cs="黑体"/>
                <w:sz w:val="28"/>
                <w:szCs w:val="28"/>
              </w:rPr>
            </w:pPr>
            <w:r>
              <w:rPr>
                <w:rFonts w:hint="eastAsia" w:ascii="黑体" w:hAnsi="黑体" w:eastAsia="黑体" w:cs="黑体"/>
                <w:sz w:val="28"/>
                <w:szCs w:val="28"/>
              </w:rPr>
              <w:t>取消</w:t>
            </w:r>
          </w:p>
        </w:tc>
        <w:tc>
          <w:tcPr>
            <w:tcW w:w="1054" w:type="dxa"/>
            <w:tcBorders>
              <w:top w:val="single" w:color="000000" w:sz="2" w:space="0"/>
              <w:left w:val="single" w:color="000000" w:sz="2" w:space="0"/>
              <w:bottom w:val="single" w:color="auto" w:sz="4"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黑体" w:hAnsi="黑体" w:eastAsia="黑体" w:cs="黑体"/>
                <w:sz w:val="28"/>
                <w:szCs w:val="28"/>
              </w:rPr>
            </w:pPr>
            <w:r>
              <w:rPr>
                <w:rFonts w:hint="eastAsia" w:ascii="黑体" w:hAnsi="黑体" w:eastAsia="黑体" w:cs="黑体"/>
                <w:sz w:val="28"/>
                <w:szCs w:val="28"/>
              </w:rPr>
              <w:t>保留</w:t>
            </w:r>
          </w:p>
        </w:tc>
        <w:tc>
          <w:tcPr>
            <w:tcW w:w="2159" w:type="dxa"/>
            <w:vMerge w:val="continue"/>
            <w:tcBorders>
              <w:left w:val="single" w:color="000000" w:sz="2" w:space="0"/>
              <w:bottom w:val="single" w:color="auto" w:sz="4"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黑体" w:hAnsi="黑体" w:eastAsia="黑体" w:cs="黑体"/>
                <w:sz w:val="28"/>
                <w:szCs w:val="28"/>
              </w:rPr>
            </w:pPr>
          </w:p>
        </w:tc>
      </w:tr>
      <w:tr>
        <w:tblPrEx>
          <w:tblCellMar>
            <w:top w:w="15" w:type="dxa"/>
            <w:left w:w="15" w:type="dxa"/>
            <w:bottom w:w="15" w:type="dxa"/>
            <w:right w:w="15" w:type="dxa"/>
          </w:tblCellMar>
        </w:tblPrEx>
        <w:trPr>
          <w:trHeight w:val="552" w:hRule="atLeast"/>
        </w:trPr>
        <w:tc>
          <w:tcPr>
            <w:tcW w:w="16133" w:type="dxa"/>
            <w:gridSpan w:val="8"/>
            <w:tcBorders>
              <w:top w:val="single" w:color="000000" w:sz="2" w:space="0"/>
              <w:left w:val="single" w:color="000000" w:sz="2" w:space="0"/>
              <w:bottom w:val="single" w:color="auto" w:sz="4"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黑体" w:hAnsi="黑体" w:eastAsia="黑体" w:cs="黑体"/>
                <w:sz w:val="28"/>
                <w:szCs w:val="28"/>
              </w:rPr>
            </w:pPr>
            <w:r>
              <w:rPr>
                <w:rFonts w:hint="eastAsia" w:ascii="黑体" w:hAnsi="黑体" w:eastAsia="黑体" w:cs="黑体"/>
                <w:sz w:val="28"/>
                <w:szCs w:val="28"/>
              </w:rPr>
              <w:t>区发改委</w:t>
            </w:r>
          </w:p>
        </w:tc>
      </w:tr>
      <w:tr>
        <w:tblPrEx>
          <w:tblCellMar>
            <w:top w:w="15" w:type="dxa"/>
            <w:left w:w="15" w:type="dxa"/>
            <w:bottom w:w="15" w:type="dxa"/>
            <w:right w:w="15" w:type="dxa"/>
          </w:tblCellMar>
        </w:tblPrEx>
        <w:trPr>
          <w:trHeight w:val="5340" w:hRule="atLeast"/>
        </w:trPr>
        <w:tc>
          <w:tcPr>
            <w:tcW w:w="547"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widowControl/>
              <w:spacing w:line="360" w:lineRule="exact"/>
              <w:jc w:val="center"/>
              <w:rPr>
                <w:rFonts w:ascii="仿宋" w:hAnsi="仿宋" w:eastAsia="仿宋" w:cs="仿宋"/>
                <w:sz w:val="28"/>
                <w:szCs w:val="28"/>
              </w:rPr>
            </w:pPr>
          </w:p>
        </w:tc>
        <w:tc>
          <w:tcPr>
            <w:tcW w:w="1979" w:type="dxa"/>
            <w:tcBorders>
              <w:left w:val="single" w:color="000000" w:sz="2"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企业、事业单位、社会团体等投资建设的独立公（铁）路桥梁、隧道项目核准</w:t>
            </w:r>
          </w:p>
        </w:tc>
        <w:tc>
          <w:tcPr>
            <w:tcW w:w="1979" w:type="dxa"/>
            <w:tcBorders>
              <w:top w:val="single" w:color="000000" w:sz="2" w:space="0"/>
              <w:left w:val="single" w:color="auto" w:sz="4" w:space="0"/>
              <w:bottom w:val="single" w:color="000000" w:sz="2"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行政许可</w:t>
            </w:r>
          </w:p>
        </w:tc>
        <w:tc>
          <w:tcPr>
            <w:tcW w:w="1981" w:type="dxa"/>
            <w:tcBorders>
              <w:top w:val="single" w:color="000000" w:sz="2" w:space="0"/>
              <w:left w:val="single" w:color="auto" w:sz="4" w:space="0"/>
              <w:bottom w:val="single" w:color="000000" w:sz="2" w:space="0"/>
              <w:right w:val="single" w:color="000000" w:sz="2"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辖区内企业、事业单位、社会团体等业申请项目核准的上报文</w:t>
            </w:r>
          </w:p>
        </w:tc>
        <w:tc>
          <w:tcPr>
            <w:tcW w:w="5381"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widowControl/>
              <w:spacing w:line="340" w:lineRule="exact"/>
              <w:rPr>
                <w:rFonts w:ascii="仿宋" w:hAnsi="仿宋" w:eastAsia="仿宋" w:cs="仿宋"/>
                <w:sz w:val="21"/>
                <w:szCs w:val="21"/>
              </w:rPr>
            </w:pPr>
            <w:r>
              <w:rPr>
                <w:rFonts w:hint="eastAsia" w:ascii="仿宋" w:hAnsi="仿宋" w:eastAsia="仿宋" w:cs="仿宋"/>
                <w:sz w:val="21"/>
                <w:szCs w:val="21"/>
              </w:rPr>
              <w:t>《安徽省企业投资项目核准和备案管理实施办法》（皖发改投资规〔2017〕6号）</w:t>
            </w:r>
            <w:r>
              <w:rPr>
                <w:rFonts w:hint="eastAsia" w:ascii="仿宋" w:hAnsi="仿宋" w:eastAsia="仿宋" w:cs="仿宋"/>
                <w:sz w:val="21"/>
                <w:szCs w:val="21"/>
              </w:rPr>
              <w:br w:type="textWrapping"/>
            </w:r>
            <w:r>
              <w:rPr>
                <w:rFonts w:hint="eastAsia" w:ascii="仿宋" w:hAnsi="仿宋" w:eastAsia="仿宋" w:cs="仿宋"/>
                <w:sz w:val="21"/>
                <w:szCs w:val="21"/>
              </w:rPr>
              <w:t>第二十三条 ……企业投资建设应当分别由省政府投资主管部门、省政府行业管理部门核准的项目；应分别通过项目所在地设区的市级政府投资主管部门、行业管理部门向省政府投资主管部门、省政府行业管理部门转送项目申请报告，项目所在地设区的市级政府投资主管部门、行业管理部门应当自收到项目申请书之日起5个工作日内转送核准机关。属于省政府投资主管部门核准权限的项目，项目所在地设区的市级政府规定由地方政府行业管理部门转送的，可以由设区的市级政府投资主管部门与其联合报送。属于省政府投资主管部门、省政府行业管理部门核准权限的跨市项目，由项目投资企业向省政府投资主管部门、省政府行业管理部门报送项目申请报告，同时抄报项目所在地社区的市级政府投资主管部门、行业管理部门。</w:t>
            </w:r>
          </w:p>
        </w:tc>
        <w:tc>
          <w:tcPr>
            <w:tcW w:w="105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仿宋" w:hAnsi="仿宋" w:eastAsia="仿宋" w:cs="仿宋"/>
                <w:sz w:val="28"/>
                <w:szCs w:val="28"/>
              </w:rPr>
            </w:pPr>
          </w:p>
        </w:tc>
        <w:tc>
          <w:tcPr>
            <w:tcW w:w="1054" w:type="dxa"/>
            <w:tcBorders>
              <w:top w:val="single" w:color="000000" w:sz="2" w:space="0"/>
              <w:left w:val="single" w:color="000000" w:sz="2" w:space="0"/>
              <w:bottom w:val="single" w:color="auto" w:sz="4"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仿宋" w:hAnsi="仿宋" w:eastAsia="仿宋" w:cs="仿宋"/>
                <w:sz w:val="28"/>
                <w:szCs w:val="28"/>
              </w:rPr>
            </w:pPr>
            <w:r>
              <w:rPr>
                <w:rFonts w:hint="eastAsia" w:ascii="仿宋" w:hAnsi="仿宋" w:eastAsia="仿宋" w:cs="仿宋"/>
                <w:sz w:val="28"/>
                <w:szCs w:val="28"/>
                <w:lang w:eastAsia="zh-CN"/>
              </w:rPr>
              <w:t>保留</w:t>
            </w:r>
          </w:p>
        </w:tc>
        <w:tc>
          <w:tcPr>
            <w:tcW w:w="2159" w:type="dxa"/>
            <w:tcBorders>
              <w:left w:val="single" w:color="000000" w:sz="2" w:space="0"/>
              <w:bottom w:val="single" w:color="auto" w:sz="4"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仿宋" w:hAnsi="仿宋" w:eastAsia="仿宋" w:cs="仿宋"/>
                <w:sz w:val="28"/>
                <w:szCs w:val="28"/>
              </w:rPr>
            </w:pPr>
            <w:r>
              <w:rPr>
                <w:rFonts w:hint="eastAsia" w:ascii="仿宋" w:hAnsi="仿宋" w:eastAsia="仿宋" w:cs="仿宋"/>
                <w:sz w:val="28"/>
                <w:szCs w:val="28"/>
              </w:rPr>
              <w:t>否</w:t>
            </w:r>
          </w:p>
        </w:tc>
      </w:tr>
      <w:tr>
        <w:tblPrEx>
          <w:tblCellMar>
            <w:top w:w="15" w:type="dxa"/>
            <w:left w:w="15" w:type="dxa"/>
            <w:bottom w:w="15" w:type="dxa"/>
            <w:right w:w="15" w:type="dxa"/>
          </w:tblCellMar>
        </w:tblPrEx>
        <w:trPr>
          <w:trHeight w:val="2640" w:hRule="atLeast"/>
        </w:trPr>
        <w:tc>
          <w:tcPr>
            <w:tcW w:w="547"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widowControl/>
              <w:spacing w:line="360" w:lineRule="exact"/>
              <w:jc w:val="center"/>
              <w:rPr>
                <w:rFonts w:ascii="仿宋" w:hAnsi="仿宋" w:eastAsia="仿宋" w:cs="仿宋"/>
                <w:sz w:val="28"/>
                <w:szCs w:val="28"/>
              </w:rPr>
            </w:pPr>
          </w:p>
        </w:tc>
        <w:tc>
          <w:tcPr>
            <w:tcW w:w="1979" w:type="dxa"/>
            <w:tcBorders>
              <w:top w:val="single" w:color="auto" w:sz="4" w:space="0"/>
              <w:left w:val="single" w:color="000000" w:sz="2"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企业、事业单位、社会团体等投资建设的依法必须招标项目的招标范围、招标方式、招标组织形式核准</w:t>
            </w:r>
          </w:p>
        </w:tc>
        <w:tc>
          <w:tcPr>
            <w:tcW w:w="1979" w:type="dxa"/>
            <w:tcBorders>
              <w:top w:val="single" w:color="000000" w:sz="2" w:space="0"/>
              <w:left w:val="single" w:color="auto" w:sz="4" w:space="0"/>
              <w:bottom w:val="single" w:color="000000" w:sz="2"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行政许可</w:t>
            </w:r>
          </w:p>
        </w:tc>
        <w:tc>
          <w:tcPr>
            <w:tcW w:w="1981" w:type="dxa"/>
            <w:tcBorders>
              <w:top w:val="single" w:color="000000" w:sz="2" w:space="0"/>
              <w:left w:val="single" w:color="auto" w:sz="4" w:space="0"/>
              <w:bottom w:val="single" w:color="000000" w:sz="2" w:space="0"/>
              <w:right w:val="single" w:color="000000" w:sz="2"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招标基本情况表</w:t>
            </w:r>
          </w:p>
        </w:tc>
        <w:tc>
          <w:tcPr>
            <w:tcW w:w="5381"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widowControl/>
              <w:spacing w:line="360" w:lineRule="exact"/>
              <w:rPr>
                <w:rFonts w:ascii="仿宋" w:hAnsi="仿宋" w:eastAsia="仿宋" w:cs="仿宋"/>
                <w:sz w:val="21"/>
                <w:szCs w:val="21"/>
              </w:rPr>
            </w:pPr>
            <w:r>
              <w:rPr>
                <w:rFonts w:hint="eastAsia" w:ascii="仿宋" w:hAnsi="仿宋" w:eastAsia="仿宋" w:cs="仿宋"/>
                <w:sz w:val="21"/>
                <w:szCs w:val="21"/>
              </w:rPr>
              <w:t>《中华人民共和国招标投标法》第七条 按照国家有关规定需要履行项目审批、核准手续的依法必须进行招标的项目，其招标范围、招标方式、招标组织形式应当报项目审批、核准部门审批、核准。项目审批、核准部门应当及时将审批、核准确定的招标范围、招标方式、招标组织形式通报有关行政监督部门。</w:t>
            </w:r>
          </w:p>
        </w:tc>
        <w:tc>
          <w:tcPr>
            <w:tcW w:w="105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仿宋" w:hAnsi="仿宋" w:eastAsia="仿宋" w:cs="仿宋"/>
                <w:sz w:val="28"/>
                <w:szCs w:val="28"/>
              </w:rPr>
            </w:pPr>
          </w:p>
        </w:tc>
        <w:tc>
          <w:tcPr>
            <w:tcW w:w="1054" w:type="dxa"/>
            <w:tcBorders>
              <w:top w:val="single" w:color="auto" w:sz="4" w:space="0"/>
              <w:left w:val="single" w:color="000000" w:sz="2" w:space="0"/>
              <w:bottom w:val="single" w:color="auto" w:sz="4"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仿宋" w:hAnsi="仿宋" w:eastAsia="仿宋" w:cs="仿宋"/>
                <w:sz w:val="28"/>
                <w:szCs w:val="28"/>
              </w:rPr>
            </w:pPr>
            <w:r>
              <w:rPr>
                <w:rFonts w:hint="eastAsia" w:ascii="仿宋" w:hAnsi="仿宋" w:eastAsia="仿宋" w:cs="仿宋"/>
                <w:sz w:val="28"/>
                <w:szCs w:val="28"/>
                <w:lang w:eastAsia="zh-CN"/>
              </w:rPr>
              <w:t>保留</w:t>
            </w:r>
          </w:p>
        </w:tc>
        <w:tc>
          <w:tcPr>
            <w:tcW w:w="2159" w:type="dxa"/>
            <w:tcBorders>
              <w:top w:val="single" w:color="auto" w:sz="4" w:space="0"/>
              <w:left w:val="single" w:color="000000" w:sz="2" w:space="0"/>
              <w:bottom w:val="single" w:color="auto" w:sz="4"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仿宋" w:hAnsi="仿宋" w:eastAsia="仿宋" w:cs="仿宋"/>
                <w:sz w:val="28"/>
                <w:szCs w:val="28"/>
              </w:rPr>
            </w:pPr>
            <w:r>
              <w:rPr>
                <w:rFonts w:hint="eastAsia" w:ascii="仿宋" w:hAnsi="仿宋" w:eastAsia="仿宋" w:cs="仿宋"/>
                <w:sz w:val="28"/>
                <w:szCs w:val="28"/>
              </w:rPr>
              <w:t>否</w:t>
            </w:r>
          </w:p>
        </w:tc>
      </w:tr>
      <w:tr>
        <w:tblPrEx>
          <w:tblCellMar>
            <w:top w:w="15" w:type="dxa"/>
            <w:left w:w="15" w:type="dxa"/>
            <w:bottom w:w="15" w:type="dxa"/>
            <w:right w:w="15" w:type="dxa"/>
          </w:tblCellMar>
        </w:tblPrEx>
        <w:trPr>
          <w:trHeight w:val="2320" w:hRule="atLeast"/>
        </w:trPr>
        <w:tc>
          <w:tcPr>
            <w:tcW w:w="547"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widowControl/>
              <w:spacing w:line="360" w:lineRule="exact"/>
              <w:jc w:val="center"/>
              <w:rPr>
                <w:rFonts w:ascii="仿宋" w:hAnsi="仿宋" w:eastAsia="仿宋" w:cs="仿宋"/>
                <w:sz w:val="28"/>
                <w:szCs w:val="28"/>
              </w:rPr>
            </w:pPr>
          </w:p>
        </w:tc>
        <w:tc>
          <w:tcPr>
            <w:tcW w:w="1979" w:type="dxa"/>
            <w:tcBorders>
              <w:top w:val="single" w:color="auto" w:sz="4" w:space="0"/>
              <w:left w:val="single" w:color="000000" w:sz="2"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政府投资项目依法必须招标项目的招标范围、招标方式、招标组织形式审批</w:t>
            </w:r>
          </w:p>
        </w:tc>
        <w:tc>
          <w:tcPr>
            <w:tcW w:w="1979" w:type="dxa"/>
            <w:tcBorders>
              <w:top w:val="single" w:color="000000" w:sz="2" w:space="0"/>
              <w:left w:val="single" w:color="auto" w:sz="4" w:space="0"/>
              <w:bottom w:val="single" w:color="000000" w:sz="2"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行政许可</w:t>
            </w:r>
          </w:p>
        </w:tc>
        <w:tc>
          <w:tcPr>
            <w:tcW w:w="1981" w:type="dxa"/>
            <w:tcBorders>
              <w:top w:val="single" w:color="000000" w:sz="2" w:space="0"/>
              <w:left w:val="single" w:color="auto" w:sz="4" w:space="0"/>
              <w:bottom w:val="single" w:color="000000" w:sz="2" w:space="0"/>
              <w:right w:val="single" w:color="000000" w:sz="2"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招标基本情况表</w:t>
            </w:r>
          </w:p>
        </w:tc>
        <w:tc>
          <w:tcPr>
            <w:tcW w:w="5381"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widowControl/>
              <w:spacing w:line="360" w:lineRule="exact"/>
              <w:rPr>
                <w:rFonts w:ascii="仿宋" w:hAnsi="仿宋" w:eastAsia="仿宋" w:cs="仿宋"/>
                <w:sz w:val="21"/>
                <w:szCs w:val="21"/>
              </w:rPr>
            </w:pPr>
            <w:r>
              <w:rPr>
                <w:rFonts w:hint="eastAsia" w:ascii="仿宋" w:hAnsi="仿宋" w:eastAsia="仿宋" w:cs="仿宋"/>
                <w:sz w:val="21"/>
                <w:szCs w:val="21"/>
              </w:rPr>
              <w:t>《中华人民共和国招标投标法》第七条 按照国家有关规定需要履行项目审批、核准手续的依法必须进行招标的项目，其招标范围、招标方式、招标组织形式应当报项目审批、核准部门审批、核准。项目审批、核准部门应当及时将审批、核准确定的招标范围、招标方式、招标组织形式通报有关行政监督部门。</w:t>
            </w:r>
          </w:p>
        </w:tc>
        <w:tc>
          <w:tcPr>
            <w:tcW w:w="105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仿宋" w:hAnsi="仿宋" w:eastAsia="仿宋" w:cs="仿宋"/>
                <w:sz w:val="28"/>
                <w:szCs w:val="28"/>
              </w:rPr>
            </w:pPr>
          </w:p>
        </w:tc>
        <w:tc>
          <w:tcPr>
            <w:tcW w:w="1054" w:type="dxa"/>
            <w:tcBorders>
              <w:top w:val="single" w:color="auto" w:sz="4" w:space="0"/>
              <w:left w:val="single" w:color="000000" w:sz="2" w:space="0"/>
              <w:bottom w:val="single" w:color="auto" w:sz="4"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仿宋" w:hAnsi="仿宋" w:eastAsia="仿宋" w:cs="仿宋"/>
                <w:sz w:val="28"/>
                <w:szCs w:val="28"/>
              </w:rPr>
            </w:pPr>
            <w:r>
              <w:rPr>
                <w:rFonts w:hint="eastAsia" w:ascii="仿宋" w:hAnsi="仿宋" w:eastAsia="仿宋" w:cs="仿宋"/>
                <w:sz w:val="28"/>
                <w:szCs w:val="28"/>
                <w:lang w:eastAsia="zh-CN"/>
              </w:rPr>
              <w:t>保留</w:t>
            </w:r>
          </w:p>
        </w:tc>
        <w:tc>
          <w:tcPr>
            <w:tcW w:w="2159" w:type="dxa"/>
            <w:tcBorders>
              <w:top w:val="single" w:color="auto" w:sz="4" w:space="0"/>
              <w:left w:val="single" w:color="000000" w:sz="2" w:space="0"/>
              <w:bottom w:val="single" w:color="auto" w:sz="4"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仿宋" w:hAnsi="仿宋" w:eastAsia="仿宋" w:cs="仿宋"/>
                <w:sz w:val="28"/>
                <w:szCs w:val="28"/>
              </w:rPr>
            </w:pPr>
            <w:r>
              <w:rPr>
                <w:rFonts w:hint="eastAsia" w:ascii="仿宋" w:hAnsi="仿宋" w:eastAsia="仿宋" w:cs="仿宋"/>
                <w:sz w:val="28"/>
                <w:szCs w:val="28"/>
              </w:rPr>
              <w:t>否</w:t>
            </w:r>
          </w:p>
        </w:tc>
      </w:tr>
      <w:tr>
        <w:tblPrEx>
          <w:tblCellMar>
            <w:top w:w="15" w:type="dxa"/>
            <w:left w:w="15" w:type="dxa"/>
            <w:bottom w:w="15" w:type="dxa"/>
            <w:right w:w="15" w:type="dxa"/>
          </w:tblCellMar>
        </w:tblPrEx>
        <w:trPr>
          <w:trHeight w:val="3187" w:hRule="atLeast"/>
        </w:trPr>
        <w:tc>
          <w:tcPr>
            <w:tcW w:w="547"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widowControl/>
              <w:spacing w:line="360" w:lineRule="exact"/>
              <w:jc w:val="center"/>
              <w:rPr>
                <w:rFonts w:ascii="仿宋" w:hAnsi="仿宋" w:eastAsia="仿宋" w:cs="仿宋"/>
                <w:sz w:val="28"/>
                <w:szCs w:val="28"/>
              </w:rPr>
            </w:pPr>
          </w:p>
        </w:tc>
        <w:tc>
          <w:tcPr>
            <w:tcW w:w="1979" w:type="dxa"/>
            <w:tcBorders>
              <w:top w:val="single" w:color="auto" w:sz="4" w:space="0"/>
              <w:left w:val="single" w:color="000000" w:sz="2"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企业、事业单位、社会团体等投资建设的公路项目核准延期申请</w:t>
            </w:r>
          </w:p>
        </w:tc>
        <w:tc>
          <w:tcPr>
            <w:tcW w:w="1979" w:type="dxa"/>
            <w:tcBorders>
              <w:top w:val="single" w:color="000000" w:sz="2" w:space="0"/>
              <w:left w:val="single" w:color="auto" w:sz="4" w:space="0"/>
              <w:bottom w:val="single" w:color="000000" w:sz="2"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行政许可</w:t>
            </w:r>
          </w:p>
        </w:tc>
        <w:tc>
          <w:tcPr>
            <w:tcW w:w="1981" w:type="dxa"/>
            <w:tcBorders>
              <w:top w:val="single" w:color="000000" w:sz="2" w:space="0"/>
              <w:left w:val="single" w:color="auto" w:sz="4" w:space="0"/>
              <w:bottom w:val="single" w:color="000000" w:sz="2" w:space="0"/>
              <w:right w:val="single" w:color="000000" w:sz="2"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辖区内企业、事业单位、社会团体申请项目核准延期的上报文</w:t>
            </w:r>
          </w:p>
        </w:tc>
        <w:tc>
          <w:tcPr>
            <w:tcW w:w="5381"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widowControl/>
              <w:spacing w:line="360" w:lineRule="exact"/>
              <w:rPr>
                <w:rFonts w:ascii="仿宋" w:hAnsi="仿宋" w:eastAsia="仿宋" w:cs="仿宋"/>
                <w:sz w:val="21"/>
                <w:szCs w:val="21"/>
              </w:rPr>
            </w:pPr>
            <w:r>
              <w:rPr>
                <w:rFonts w:hint="eastAsia" w:ascii="仿宋" w:hAnsi="仿宋" w:eastAsia="仿宋" w:cs="仿宋"/>
                <w:sz w:val="21"/>
                <w:szCs w:val="21"/>
              </w:rPr>
              <w:t>《企业投资项目核准和备案管理条例》第十二条 项目自核准机关作出予以核准决定或者同意变更决定之日起2年内未开工建设，需要延期开工建设的，企业应当在2年期限届满的30个工作日前，向核准机关申请延期开工建设。核准机关应当自受理申请之日起20个工作日内，作出是否同意延期开工建设的决定。开工建设只能延期一次，期限最长不得超过1年。国家对项目延期开工建设另有规定的，依照其规定</w:t>
            </w:r>
          </w:p>
        </w:tc>
        <w:tc>
          <w:tcPr>
            <w:tcW w:w="105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仿宋" w:hAnsi="仿宋" w:eastAsia="仿宋" w:cs="仿宋"/>
                <w:sz w:val="28"/>
                <w:szCs w:val="28"/>
              </w:rPr>
            </w:pPr>
          </w:p>
        </w:tc>
        <w:tc>
          <w:tcPr>
            <w:tcW w:w="1054" w:type="dxa"/>
            <w:tcBorders>
              <w:top w:val="single" w:color="auto" w:sz="4" w:space="0"/>
              <w:left w:val="single" w:color="000000" w:sz="2" w:space="0"/>
              <w:bottom w:val="single" w:color="auto" w:sz="4"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仿宋" w:hAnsi="仿宋" w:eastAsia="仿宋" w:cs="仿宋"/>
                <w:sz w:val="28"/>
                <w:szCs w:val="28"/>
              </w:rPr>
            </w:pPr>
            <w:r>
              <w:rPr>
                <w:rFonts w:hint="eastAsia" w:ascii="仿宋" w:hAnsi="仿宋" w:eastAsia="仿宋" w:cs="仿宋"/>
                <w:sz w:val="28"/>
                <w:szCs w:val="28"/>
                <w:lang w:eastAsia="zh-CN"/>
              </w:rPr>
              <w:t>保留</w:t>
            </w:r>
          </w:p>
        </w:tc>
        <w:tc>
          <w:tcPr>
            <w:tcW w:w="2159" w:type="dxa"/>
            <w:tcBorders>
              <w:top w:val="single" w:color="auto" w:sz="4" w:space="0"/>
              <w:left w:val="single" w:color="000000" w:sz="2" w:space="0"/>
              <w:bottom w:val="single" w:color="auto" w:sz="4"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仿宋" w:hAnsi="仿宋" w:eastAsia="仿宋" w:cs="仿宋"/>
                <w:sz w:val="28"/>
                <w:szCs w:val="28"/>
              </w:rPr>
            </w:pPr>
            <w:r>
              <w:rPr>
                <w:rFonts w:hint="eastAsia" w:ascii="仿宋" w:hAnsi="仿宋" w:eastAsia="仿宋" w:cs="仿宋"/>
                <w:sz w:val="28"/>
                <w:szCs w:val="28"/>
              </w:rPr>
              <w:t>否</w:t>
            </w:r>
          </w:p>
        </w:tc>
      </w:tr>
      <w:tr>
        <w:tblPrEx>
          <w:tblCellMar>
            <w:top w:w="15" w:type="dxa"/>
            <w:left w:w="15" w:type="dxa"/>
            <w:bottom w:w="15" w:type="dxa"/>
            <w:right w:w="15" w:type="dxa"/>
          </w:tblCellMar>
        </w:tblPrEx>
        <w:trPr>
          <w:trHeight w:val="552" w:hRule="atLeast"/>
        </w:trPr>
        <w:tc>
          <w:tcPr>
            <w:tcW w:w="547"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widowControl/>
              <w:spacing w:line="360" w:lineRule="exact"/>
              <w:jc w:val="center"/>
              <w:rPr>
                <w:rFonts w:ascii="仿宋" w:hAnsi="仿宋" w:eastAsia="仿宋" w:cs="仿宋"/>
                <w:sz w:val="28"/>
                <w:szCs w:val="28"/>
              </w:rPr>
            </w:pPr>
          </w:p>
        </w:tc>
        <w:tc>
          <w:tcPr>
            <w:tcW w:w="1979" w:type="dxa"/>
            <w:tcBorders>
              <w:top w:val="single" w:color="auto" w:sz="4" w:space="0"/>
              <w:left w:val="single" w:color="000000" w:sz="2"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企业、事业单位、社会团体等投资建设的公路项目核准</w:t>
            </w:r>
          </w:p>
        </w:tc>
        <w:tc>
          <w:tcPr>
            <w:tcW w:w="1979" w:type="dxa"/>
            <w:tcBorders>
              <w:top w:val="single" w:color="000000" w:sz="2" w:space="0"/>
              <w:left w:val="single" w:color="auto" w:sz="4" w:space="0"/>
              <w:bottom w:val="single" w:color="000000" w:sz="2"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行政许可</w:t>
            </w:r>
          </w:p>
        </w:tc>
        <w:tc>
          <w:tcPr>
            <w:tcW w:w="1981" w:type="dxa"/>
            <w:tcBorders>
              <w:top w:val="single" w:color="000000" w:sz="2" w:space="0"/>
              <w:left w:val="single" w:color="auto" w:sz="4" w:space="0"/>
              <w:bottom w:val="single" w:color="000000" w:sz="2" w:space="0"/>
              <w:right w:val="single" w:color="000000" w:sz="2"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项目申请报告</w:t>
            </w:r>
          </w:p>
        </w:tc>
        <w:tc>
          <w:tcPr>
            <w:tcW w:w="5381"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widowControl/>
              <w:spacing w:line="240" w:lineRule="exact"/>
              <w:rPr>
                <w:rFonts w:ascii="仿宋" w:hAnsi="仿宋" w:eastAsia="仿宋" w:cs="仿宋"/>
                <w:sz w:val="21"/>
                <w:szCs w:val="21"/>
              </w:rPr>
            </w:pPr>
            <w:r>
              <w:rPr>
                <w:rFonts w:hint="eastAsia" w:ascii="仿宋" w:hAnsi="仿宋" w:eastAsia="仿宋" w:cs="仿宋"/>
                <w:sz w:val="21"/>
                <w:szCs w:val="21"/>
              </w:rPr>
              <w:t>《企业投资项目核准和备案管理办法》（国家发改委2017年2号令）</w:t>
            </w:r>
            <w:r>
              <w:rPr>
                <w:rFonts w:hint="eastAsia" w:ascii="仿宋" w:hAnsi="仿宋" w:eastAsia="仿宋" w:cs="仿宋"/>
                <w:sz w:val="21"/>
                <w:szCs w:val="21"/>
              </w:rPr>
              <w:br w:type="textWrapping"/>
            </w:r>
            <w:r>
              <w:rPr>
                <w:rFonts w:hint="eastAsia" w:ascii="仿宋" w:hAnsi="仿宋" w:eastAsia="仿宋" w:cs="仿宋"/>
                <w:sz w:val="21"/>
                <w:szCs w:val="21"/>
              </w:rPr>
              <w:t>第十七条：企业办理项目核准手续，应当按照国家相关要求编制项目申请报告。</w:t>
            </w:r>
            <w:r>
              <w:rPr>
                <w:rFonts w:hint="eastAsia" w:ascii="仿宋" w:hAnsi="仿宋" w:eastAsia="仿宋" w:cs="仿宋"/>
                <w:sz w:val="21"/>
                <w:szCs w:val="21"/>
              </w:rPr>
              <w:br w:type="textWrapping"/>
            </w:r>
            <w:r>
              <w:rPr>
                <w:rFonts w:hint="eastAsia" w:ascii="仿宋" w:hAnsi="仿宋" w:eastAsia="仿宋" w:cs="仿宋"/>
                <w:sz w:val="21"/>
                <w:szCs w:val="21"/>
              </w:rPr>
              <w:t>第十九条：项目申清报告应当主要包括以下内容：</w:t>
            </w:r>
            <w:r>
              <w:rPr>
                <w:rFonts w:hint="eastAsia" w:ascii="仿宋" w:hAnsi="仿宋" w:eastAsia="仿宋" w:cs="仿宋"/>
                <w:sz w:val="21"/>
                <w:szCs w:val="21"/>
              </w:rPr>
              <w:br w:type="textWrapping"/>
            </w:r>
            <w:r>
              <w:rPr>
                <w:rFonts w:hint="eastAsia" w:ascii="仿宋" w:hAnsi="仿宋" w:eastAsia="仿宋" w:cs="仿宋"/>
                <w:sz w:val="21"/>
                <w:szCs w:val="21"/>
              </w:rPr>
              <w:t>（一）项目单位基本情况；</w:t>
            </w:r>
            <w:r>
              <w:rPr>
                <w:rFonts w:hint="eastAsia" w:ascii="仿宋" w:hAnsi="仿宋" w:eastAsia="仿宋" w:cs="仿宋"/>
                <w:sz w:val="21"/>
                <w:szCs w:val="21"/>
              </w:rPr>
              <w:br w:type="textWrapping"/>
            </w:r>
            <w:r>
              <w:rPr>
                <w:rFonts w:hint="eastAsia" w:ascii="仿宋" w:hAnsi="仿宋" w:eastAsia="仿宋" w:cs="仿宋"/>
                <w:sz w:val="21"/>
                <w:szCs w:val="21"/>
              </w:rPr>
              <w:t>〔二）拟建项即清况，包括项目名称、建设地点、建设内容等；</w:t>
            </w:r>
            <w:r>
              <w:rPr>
                <w:rFonts w:hint="eastAsia" w:ascii="仿宋" w:hAnsi="仿宋" w:eastAsia="仿宋" w:cs="仿宋"/>
                <w:sz w:val="21"/>
                <w:szCs w:val="21"/>
              </w:rPr>
              <w:br w:type="textWrapping"/>
            </w:r>
            <w:r>
              <w:rPr>
                <w:rFonts w:hint="eastAsia" w:ascii="仿宋" w:hAnsi="仿宋" w:eastAsia="仿宋" w:cs="仿宋"/>
                <w:sz w:val="21"/>
                <w:szCs w:val="21"/>
              </w:rPr>
              <w:t>（三）项目资源利用情况分析以及对生态环境角影响分析；</w:t>
            </w:r>
            <w:r>
              <w:rPr>
                <w:rFonts w:hint="eastAsia" w:ascii="仿宋" w:hAnsi="仿宋" w:eastAsia="仿宋" w:cs="仿宋"/>
                <w:sz w:val="21"/>
                <w:szCs w:val="21"/>
              </w:rPr>
              <w:br w:type="textWrapping"/>
            </w:r>
            <w:r>
              <w:rPr>
                <w:rFonts w:hint="eastAsia" w:ascii="仿宋" w:hAnsi="仿宋" w:eastAsia="仿宋" w:cs="仿宋"/>
                <w:sz w:val="21"/>
                <w:szCs w:val="21"/>
              </w:rPr>
              <w:t>（四）项目对经济和社会的影响分析。</w:t>
            </w:r>
            <w:r>
              <w:rPr>
                <w:rFonts w:hint="eastAsia" w:ascii="仿宋" w:hAnsi="仿宋" w:eastAsia="仿宋" w:cs="仿宋"/>
                <w:sz w:val="21"/>
                <w:szCs w:val="21"/>
              </w:rPr>
              <w:br w:type="textWrapping"/>
            </w:r>
            <w:r>
              <w:rPr>
                <w:rFonts w:hint="eastAsia" w:ascii="仿宋" w:hAnsi="仿宋" w:eastAsia="仿宋" w:cs="仿宋"/>
                <w:sz w:val="21"/>
                <w:szCs w:val="21"/>
              </w:rPr>
              <w:t>第二十一条 项目申请报告可以由项目单位自行编写，也可以由项目单位自主委托具有相关经验和能力的工程咨询单位</w:t>
            </w:r>
            <w:r>
              <w:rPr>
                <w:rFonts w:hint="eastAsia" w:ascii="仿宋" w:hAnsi="仿宋" w:eastAsia="仿宋" w:cs="仿宋"/>
                <w:sz w:val="21"/>
                <w:szCs w:val="21"/>
              </w:rPr>
              <w:br w:type="textWrapping"/>
            </w:r>
            <w:r>
              <w:rPr>
                <w:rFonts w:hint="eastAsia" w:ascii="仿宋" w:hAnsi="仿宋" w:eastAsia="仿宋" w:cs="仿宋"/>
                <w:sz w:val="21"/>
                <w:szCs w:val="21"/>
              </w:rPr>
              <w:t>编写。</w:t>
            </w:r>
          </w:p>
        </w:tc>
        <w:tc>
          <w:tcPr>
            <w:tcW w:w="105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仿宋" w:hAnsi="仿宋" w:eastAsia="仿宋" w:cs="仿宋"/>
                <w:sz w:val="28"/>
                <w:szCs w:val="28"/>
              </w:rPr>
            </w:pPr>
          </w:p>
        </w:tc>
        <w:tc>
          <w:tcPr>
            <w:tcW w:w="1054" w:type="dxa"/>
            <w:tcBorders>
              <w:top w:val="single" w:color="auto" w:sz="4" w:space="0"/>
              <w:left w:val="single" w:color="000000" w:sz="2" w:space="0"/>
              <w:bottom w:val="single" w:color="auto" w:sz="4"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仿宋" w:hAnsi="仿宋" w:eastAsia="仿宋" w:cs="仿宋"/>
                <w:sz w:val="28"/>
                <w:szCs w:val="28"/>
              </w:rPr>
            </w:pPr>
            <w:r>
              <w:rPr>
                <w:rFonts w:hint="eastAsia" w:ascii="仿宋" w:hAnsi="仿宋" w:eastAsia="仿宋" w:cs="仿宋"/>
                <w:sz w:val="28"/>
                <w:szCs w:val="28"/>
                <w:lang w:eastAsia="zh-CN"/>
              </w:rPr>
              <w:t>保留</w:t>
            </w:r>
          </w:p>
        </w:tc>
        <w:tc>
          <w:tcPr>
            <w:tcW w:w="2159" w:type="dxa"/>
            <w:tcBorders>
              <w:top w:val="single" w:color="auto" w:sz="4" w:space="0"/>
              <w:left w:val="single" w:color="000000" w:sz="2" w:space="0"/>
              <w:bottom w:val="single" w:color="auto" w:sz="4"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仿宋" w:hAnsi="仿宋" w:eastAsia="仿宋" w:cs="仿宋"/>
                <w:sz w:val="28"/>
                <w:szCs w:val="28"/>
              </w:rPr>
            </w:pPr>
            <w:r>
              <w:rPr>
                <w:rFonts w:hint="eastAsia" w:ascii="仿宋" w:hAnsi="仿宋" w:eastAsia="仿宋" w:cs="仿宋"/>
                <w:sz w:val="28"/>
                <w:szCs w:val="28"/>
              </w:rPr>
              <w:t>否</w:t>
            </w:r>
          </w:p>
        </w:tc>
      </w:tr>
      <w:tr>
        <w:tblPrEx>
          <w:tblCellMar>
            <w:top w:w="15" w:type="dxa"/>
            <w:left w:w="15" w:type="dxa"/>
            <w:bottom w:w="15" w:type="dxa"/>
            <w:right w:w="15" w:type="dxa"/>
          </w:tblCellMar>
        </w:tblPrEx>
        <w:trPr>
          <w:trHeight w:val="552" w:hRule="atLeast"/>
        </w:trPr>
        <w:tc>
          <w:tcPr>
            <w:tcW w:w="547"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widowControl/>
              <w:spacing w:line="360" w:lineRule="exact"/>
              <w:jc w:val="center"/>
              <w:rPr>
                <w:rFonts w:ascii="仿宋" w:hAnsi="仿宋" w:eastAsia="仿宋" w:cs="仿宋"/>
                <w:sz w:val="28"/>
                <w:szCs w:val="28"/>
              </w:rPr>
            </w:pPr>
          </w:p>
        </w:tc>
        <w:tc>
          <w:tcPr>
            <w:tcW w:w="1979" w:type="dxa"/>
            <w:tcBorders>
              <w:top w:val="single" w:color="auto" w:sz="4" w:space="0"/>
              <w:left w:val="single" w:color="000000" w:sz="2"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企业、事业单位、社会团体等投资建设的公路项目核准变更</w:t>
            </w:r>
          </w:p>
        </w:tc>
        <w:tc>
          <w:tcPr>
            <w:tcW w:w="1979" w:type="dxa"/>
            <w:tcBorders>
              <w:top w:val="single" w:color="000000" w:sz="2" w:space="0"/>
              <w:left w:val="single" w:color="auto" w:sz="4" w:space="0"/>
              <w:bottom w:val="single" w:color="000000" w:sz="2"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行政许可</w:t>
            </w:r>
          </w:p>
        </w:tc>
        <w:tc>
          <w:tcPr>
            <w:tcW w:w="1981" w:type="dxa"/>
            <w:tcBorders>
              <w:top w:val="single" w:color="000000" w:sz="2" w:space="0"/>
              <w:left w:val="single" w:color="auto" w:sz="4" w:space="0"/>
              <w:bottom w:val="single" w:color="000000" w:sz="2" w:space="0"/>
              <w:right w:val="single" w:color="000000" w:sz="2"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辖区内企业、事业单位、社会团体申请项目核准变更的上报文</w:t>
            </w:r>
          </w:p>
        </w:tc>
        <w:tc>
          <w:tcPr>
            <w:tcW w:w="5381"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widowControl/>
              <w:spacing w:line="240" w:lineRule="exact"/>
              <w:rPr>
                <w:rFonts w:ascii="仿宋" w:hAnsi="仿宋" w:eastAsia="仿宋" w:cs="仿宋"/>
                <w:sz w:val="21"/>
                <w:szCs w:val="21"/>
              </w:rPr>
            </w:pPr>
            <w:r>
              <w:rPr>
                <w:rFonts w:hint="eastAsia" w:ascii="仿宋" w:hAnsi="仿宋" w:eastAsia="仿宋" w:cs="仿宋"/>
                <w:sz w:val="21"/>
                <w:szCs w:val="21"/>
              </w:rPr>
              <w:t>《企业投资项目核准和备案管理条例》第十一条 企业拟变更已核准项目的，应当向核准机关提出变更申请。核准机关应当自受理申请之日起20个工作日内，作出是否同意变更的书面决定</w:t>
            </w:r>
          </w:p>
        </w:tc>
        <w:tc>
          <w:tcPr>
            <w:tcW w:w="105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仿宋" w:hAnsi="仿宋" w:eastAsia="仿宋" w:cs="仿宋"/>
                <w:sz w:val="28"/>
                <w:szCs w:val="28"/>
              </w:rPr>
            </w:pPr>
          </w:p>
        </w:tc>
        <w:tc>
          <w:tcPr>
            <w:tcW w:w="1054" w:type="dxa"/>
            <w:tcBorders>
              <w:top w:val="single" w:color="auto" w:sz="4" w:space="0"/>
              <w:left w:val="single" w:color="000000" w:sz="2" w:space="0"/>
              <w:bottom w:val="single" w:color="auto" w:sz="4"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仿宋" w:hAnsi="仿宋" w:eastAsia="仿宋" w:cs="仿宋"/>
                <w:sz w:val="28"/>
                <w:szCs w:val="28"/>
              </w:rPr>
            </w:pPr>
            <w:r>
              <w:rPr>
                <w:rFonts w:hint="eastAsia" w:ascii="仿宋" w:hAnsi="仿宋" w:eastAsia="仿宋" w:cs="仿宋"/>
                <w:sz w:val="28"/>
                <w:szCs w:val="28"/>
                <w:lang w:eastAsia="zh-CN"/>
              </w:rPr>
              <w:t>保留</w:t>
            </w:r>
          </w:p>
        </w:tc>
        <w:tc>
          <w:tcPr>
            <w:tcW w:w="2159" w:type="dxa"/>
            <w:tcBorders>
              <w:top w:val="single" w:color="auto" w:sz="4" w:space="0"/>
              <w:left w:val="single" w:color="000000" w:sz="2" w:space="0"/>
              <w:bottom w:val="single" w:color="auto" w:sz="4"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仿宋" w:hAnsi="仿宋" w:eastAsia="仿宋" w:cs="仿宋"/>
                <w:sz w:val="28"/>
                <w:szCs w:val="28"/>
              </w:rPr>
            </w:pPr>
            <w:r>
              <w:rPr>
                <w:rFonts w:hint="eastAsia" w:ascii="仿宋" w:hAnsi="仿宋" w:eastAsia="仿宋" w:cs="仿宋"/>
                <w:sz w:val="28"/>
                <w:szCs w:val="28"/>
              </w:rPr>
              <w:t>否</w:t>
            </w:r>
          </w:p>
        </w:tc>
      </w:tr>
      <w:tr>
        <w:tblPrEx>
          <w:tblCellMar>
            <w:top w:w="15" w:type="dxa"/>
            <w:left w:w="15" w:type="dxa"/>
            <w:bottom w:w="15" w:type="dxa"/>
            <w:right w:w="15" w:type="dxa"/>
          </w:tblCellMar>
        </w:tblPrEx>
        <w:trPr>
          <w:trHeight w:val="552" w:hRule="atLeast"/>
        </w:trPr>
        <w:tc>
          <w:tcPr>
            <w:tcW w:w="547"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widowControl/>
              <w:spacing w:line="360" w:lineRule="exact"/>
              <w:jc w:val="center"/>
              <w:rPr>
                <w:rFonts w:ascii="仿宋" w:hAnsi="仿宋" w:eastAsia="仿宋" w:cs="仿宋"/>
                <w:sz w:val="28"/>
                <w:szCs w:val="28"/>
              </w:rPr>
            </w:pPr>
          </w:p>
        </w:tc>
        <w:tc>
          <w:tcPr>
            <w:tcW w:w="1979" w:type="dxa"/>
            <w:tcBorders>
              <w:top w:val="single" w:color="auto" w:sz="4" w:space="0"/>
              <w:left w:val="single" w:color="000000" w:sz="2"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企业、事业单位、社会团体等投资建设的水利工程项目核准变更</w:t>
            </w:r>
          </w:p>
        </w:tc>
        <w:tc>
          <w:tcPr>
            <w:tcW w:w="1979" w:type="dxa"/>
            <w:tcBorders>
              <w:top w:val="single" w:color="000000" w:sz="2" w:space="0"/>
              <w:left w:val="single" w:color="auto" w:sz="4" w:space="0"/>
              <w:bottom w:val="single" w:color="000000" w:sz="2"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行政许可</w:t>
            </w:r>
          </w:p>
        </w:tc>
        <w:tc>
          <w:tcPr>
            <w:tcW w:w="1981" w:type="dxa"/>
            <w:tcBorders>
              <w:top w:val="single" w:color="000000" w:sz="2" w:space="0"/>
              <w:left w:val="single" w:color="auto" w:sz="4" w:space="0"/>
              <w:bottom w:val="single" w:color="000000" w:sz="2" w:space="0"/>
              <w:right w:val="single" w:color="000000" w:sz="2"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辖区内企业、事业单位、社会团体等申请项目核准的上报文</w:t>
            </w:r>
          </w:p>
        </w:tc>
        <w:tc>
          <w:tcPr>
            <w:tcW w:w="5381"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widowControl/>
              <w:spacing w:line="240" w:lineRule="exact"/>
              <w:rPr>
                <w:rFonts w:ascii="仿宋" w:hAnsi="仿宋" w:eastAsia="仿宋" w:cs="仿宋"/>
                <w:sz w:val="21"/>
                <w:szCs w:val="21"/>
              </w:rPr>
            </w:pPr>
            <w:r>
              <w:rPr>
                <w:rFonts w:hint="eastAsia" w:ascii="仿宋" w:hAnsi="仿宋" w:eastAsia="仿宋" w:cs="仿宋"/>
                <w:w w:val="90"/>
                <w:sz w:val="21"/>
                <w:szCs w:val="21"/>
              </w:rPr>
              <w:t>《安徽省企业投资项目核准和备案管理实施办法》（皖发改投资规〔2017〕6号）</w:t>
            </w:r>
            <w:r>
              <w:rPr>
                <w:rFonts w:hint="eastAsia" w:ascii="仿宋" w:hAnsi="仿宋" w:eastAsia="仿宋" w:cs="仿宋"/>
                <w:w w:val="90"/>
                <w:sz w:val="21"/>
                <w:szCs w:val="21"/>
              </w:rPr>
              <w:br w:type="textWrapping"/>
            </w:r>
            <w:r>
              <w:rPr>
                <w:rFonts w:hint="eastAsia" w:ascii="仿宋" w:hAnsi="仿宋" w:eastAsia="仿宋" w:cs="仿宋"/>
                <w:w w:val="90"/>
                <w:sz w:val="21"/>
                <w:szCs w:val="21"/>
              </w:rPr>
              <w:t>第二十三条 ……企业投资建设应当分别由省政府投资主管部门、省政府行业管理部门核准的项目；应分别通过项目所在地设区的市级政府投资主管部门、行业管理部门向省政府投资主管部门、省政府行业管理部门转送项目申请报告，项目所在地设区的市级政府投资主管部门、行业管理部门应当自收到项目申请书之日起5个工作日内转送核准机关。属于省政府投资主管部门核准权限的项目，项目所在地设区的市级政府规定由地方政府行业管理部门转送的，可以由设区的市级政府投资主管部门与其联合报送。属于省政府投资主管部门、省政府行业管理部门核准权限的跨市项目，由项目投资企业向省政府投资主管部门、省政府行业管理部门报送项目申请报告，同时抄报项目所在地社区的市级政府投资主管部门、行业管理部门。</w:t>
            </w:r>
          </w:p>
        </w:tc>
        <w:tc>
          <w:tcPr>
            <w:tcW w:w="105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仿宋" w:hAnsi="仿宋" w:eastAsia="仿宋" w:cs="仿宋"/>
                <w:sz w:val="28"/>
                <w:szCs w:val="28"/>
              </w:rPr>
            </w:pPr>
          </w:p>
        </w:tc>
        <w:tc>
          <w:tcPr>
            <w:tcW w:w="1054" w:type="dxa"/>
            <w:tcBorders>
              <w:top w:val="single" w:color="auto" w:sz="4" w:space="0"/>
              <w:left w:val="single" w:color="000000" w:sz="2" w:space="0"/>
              <w:bottom w:val="single" w:color="auto" w:sz="4"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仿宋" w:hAnsi="仿宋" w:eastAsia="仿宋" w:cs="仿宋"/>
                <w:sz w:val="28"/>
                <w:szCs w:val="28"/>
              </w:rPr>
            </w:pPr>
            <w:r>
              <w:rPr>
                <w:rFonts w:hint="eastAsia" w:ascii="仿宋" w:hAnsi="仿宋" w:eastAsia="仿宋" w:cs="仿宋"/>
                <w:sz w:val="28"/>
                <w:szCs w:val="28"/>
                <w:lang w:eastAsia="zh-CN"/>
              </w:rPr>
              <w:t>保留</w:t>
            </w:r>
          </w:p>
        </w:tc>
        <w:tc>
          <w:tcPr>
            <w:tcW w:w="2159" w:type="dxa"/>
            <w:tcBorders>
              <w:top w:val="single" w:color="auto" w:sz="4" w:space="0"/>
              <w:left w:val="single" w:color="000000" w:sz="2" w:space="0"/>
              <w:bottom w:val="single" w:color="auto" w:sz="4"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仿宋" w:hAnsi="仿宋" w:eastAsia="仿宋" w:cs="仿宋"/>
                <w:sz w:val="28"/>
                <w:szCs w:val="28"/>
              </w:rPr>
            </w:pPr>
            <w:r>
              <w:rPr>
                <w:rFonts w:hint="eastAsia" w:ascii="仿宋" w:hAnsi="仿宋" w:eastAsia="仿宋" w:cs="仿宋"/>
                <w:sz w:val="28"/>
                <w:szCs w:val="28"/>
              </w:rPr>
              <w:t>否</w:t>
            </w:r>
          </w:p>
        </w:tc>
      </w:tr>
      <w:tr>
        <w:tblPrEx>
          <w:tblCellMar>
            <w:top w:w="15" w:type="dxa"/>
            <w:left w:w="15" w:type="dxa"/>
            <w:bottom w:w="15" w:type="dxa"/>
            <w:right w:w="15" w:type="dxa"/>
          </w:tblCellMar>
        </w:tblPrEx>
        <w:trPr>
          <w:trHeight w:val="552" w:hRule="atLeast"/>
        </w:trPr>
        <w:tc>
          <w:tcPr>
            <w:tcW w:w="547"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widowControl/>
              <w:spacing w:line="360" w:lineRule="exact"/>
              <w:jc w:val="center"/>
              <w:rPr>
                <w:rFonts w:ascii="仿宋" w:hAnsi="仿宋" w:eastAsia="仿宋" w:cs="仿宋"/>
                <w:sz w:val="28"/>
                <w:szCs w:val="28"/>
              </w:rPr>
            </w:pPr>
          </w:p>
        </w:tc>
        <w:tc>
          <w:tcPr>
            <w:tcW w:w="1979" w:type="dxa"/>
            <w:tcBorders>
              <w:top w:val="single" w:color="auto" w:sz="4" w:space="0"/>
              <w:left w:val="single" w:color="000000" w:sz="2"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企业、事业单位、社会团体等投资建设的水利工程项目核准延期申请</w:t>
            </w:r>
          </w:p>
        </w:tc>
        <w:tc>
          <w:tcPr>
            <w:tcW w:w="1979" w:type="dxa"/>
            <w:tcBorders>
              <w:top w:val="single" w:color="000000" w:sz="2" w:space="0"/>
              <w:left w:val="single" w:color="auto" w:sz="4" w:space="0"/>
              <w:bottom w:val="single" w:color="000000" w:sz="2"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行政许可</w:t>
            </w:r>
          </w:p>
        </w:tc>
        <w:tc>
          <w:tcPr>
            <w:tcW w:w="1981" w:type="dxa"/>
            <w:tcBorders>
              <w:top w:val="single" w:color="000000" w:sz="2" w:space="0"/>
              <w:left w:val="single" w:color="auto" w:sz="4" w:space="0"/>
              <w:bottom w:val="single" w:color="000000" w:sz="2" w:space="0"/>
              <w:right w:val="single" w:color="000000" w:sz="2"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辖区内企业、事业单位、社会团体等申请项目核准的上报文</w:t>
            </w:r>
          </w:p>
        </w:tc>
        <w:tc>
          <w:tcPr>
            <w:tcW w:w="5381"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widowControl/>
              <w:spacing w:line="280" w:lineRule="exact"/>
              <w:rPr>
                <w:rFonts w:ascii="仿宋" w:hAnsi="仿宋" w:eastAsia="仿宋" w:cs="仿宋"/>
                <w:sz w:val="21"/>
                <w:szCs w:val="21"/>
              </w:rPr>
            </w:pPr>
            <w:r>
              <w:rPr>
                <w:rFonts w:hint="eastAsia" w:ascii="仿宋" w:hAnsi="仿宋" w:eastAsia="仿宋" w:cs="仿宋"/>
                <w:sz w:val="21"/>
                <w:szCs w:val="21"/>
              </w:rPr>
              <w:t>《企业投资项目核准和备案管理条例》第十一条 企业拟变更已核准项目的，应当向核准机关提出变更申请。核准机关应当自受理申请之日起20个工作日内，作出是否同意变更的书面决定</w:t>
            </w:r>
          </w:p>
        </w:tc>
        <w:tc>
          <w:tcPr>
            <w:tcW w:w="105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仿宋" w:hAnsi="仿宋" w:eastAsia="仿宋" w:cs="仿宋"/>
                <w:sz w:val="28"/>
                <w:szCs w:val="28"/>
              </w:rPr>
            </w:pPr>
          </w:p>
        </w:tc>
        <w:tc>
          <w:tcPr>
            <w:tcW w:w="1054" w:type="dxa"/>
            <w:tcBorders>
              <w:top w:val="single" w:color="auto" w:sz="4" w:space="0"/>
              <w:left w:val="single" w:color="000000" w:sz="2" w:space="0"/>
              <w:bottom w:val="single" w:color="auto" w:sz="4"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仿宋" w:hAnsi="仿宋" w:eastAsia="仿宋" w:cs="仿宋"/>
                <w:sz w:val="28"/>
                <w:szCs w:val="28"/>
              </w:rPr>
            </w:pPr>
            <w:r>
              <w:rPr>
                <w:rFonts w:hint="eastAsia" w:ascii="仿宋" w:hAnsi="仿宋" w:eastAsia="仿宋" w:cs="仿宋"/>
                <w:sz w:val="28"/>
                <w:szCs w:val="28"/>
                <w:lang w:eastAsia="zh-CN"/>
              </w:rPr>
              <w:t>保留</w:t>
            </w:r>
          </w:p>
        </w:tc>
        <w:tc>
          <w:tcPr>
            <w:tcW w:w="2159" w:type="dxa"/>
            <w:tcBorders>
              <w:top w:val="single" w:color="auto" w:sz="4" w:space="0"/>
              <w:left w:val="single" w:color="000000" w:sz="2" w:space="0"/>
              <w:bottom w:val="single" w:color="auto" w:sz="4"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仿宋" w:hAnsi="仿宋" w:eastAsia="仿宋" w:cs="仿宋"/>
                <w:sz w:val="28"/>
                <w:szCs w:val="28"/>
              </w:rPr>
            </w:pPr>
            <w:r>
              <w:rPr>
                <w:rFonts w:hint="eastAsia" w:ascii="仿宋" w:hAnsi="仿宋" w:eastAsia="仿宋" w:cs="仿宋"/>
                <w:sz w:val="28"/>
                <w:szCs w:val="28"/>
              </w:rPr>
              <w:t>否</w:t>
            </w:r>
          </w:p>
        </w:tc>
      </w:tr>
      <w:tr>
        <w:tblPrEx>
          <w:tblCellMar>
            <w:top w:w="15" w:type="dxa"/>
            <w:left w:w="15" w:type="dxa"/>
            <w:bottom w:w="15" w:type="dxa"/>
            <w:right w:w="15" w:type="dxa"/>
          </w:tblCellMar>
        </w:tblPrEx>
        <w:trPr>
          <w:trHeight w:val="552" w:hRule="atLeast"/>
        </w:trPr>
        <w:tc>
          <w:tcPr>
            <w:tcW w:w="547"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widowControl/>
              <w:spacing w:line="360" w:lineRule="exact"/>
              <w:jc w:val="center"/>
              <w:rPr>
                <w:rFonts w:ascii="仿宋" w:hAnsi="仿宋" w:eastAsia="仿宋" w:cs="仿宋"/>
                <w:sz w:val="28"/>
                <w:szCs w:val="28"/>
              </w:rPr>
            </w:pPr>
          </w:p>
        </w:tc>
        <w:tc>
          <w:tcPr>
            <w:tcW w:w="1979" w:type="dxa"/>
            <w:tcBorders>
              <w:top w:val="single" w:color="auto" w:sz="4" w:space="0"/>
              <w:left w:val="single" w:color="000000" w:sz="2"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企业、事业单位、社会团体等投资建设的水利工程项目核准</w:t>
            </w:r>
          </w:p>
        </w:tc>
        <w:tc>
          <w:tcPr>
            <w:tcW w:w="1979" w:type="dxa"/>
            <w:tcBorders>
              <w:top w:val="single" w:color="000000" w:sz="2" w:space="0"/>
              <w:left w:val="single" w:color="auto" w:sz="4" w:space="0"/>
              <w:bottom w:val="single" w:color="000000" w:sz="2"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行政许可</w:t>
            </w:r>
          </w:p>
        </w:tc>
        <w:tc>
          <w:tcPr>
            <w:tcW w:w="1981" w:type="dxa"/>
            <w:tcBorders>
              <w:top w:val="single" w:color="000000" w:sz="2" w:space="0"/>
              <w:left w:val="single" w:color="auto" w:sz="4" w:space="0"/>
              <w:bottom w:val="single" w:color="000000" w:sz="2" w:space="0"/>
              <w:right w:val="single" w:color="000000" w:sz="2"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辖区内企业、事业单位、社会团体等申请项目核准的上报文</w:t>
            </w:r>
          </w:p>
        </w:tc>
        <w:tc>
          <w:tcPr>
            <w:tcW w:w="5381"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widowControl/>
              <w:spacing w:line="280" w:lineRule="exact"/>
              <w:rPr>
                <w:rFonts w:ascii="仿宋" w:hAnsi="仿宋" w:eastAsia="仿宋" w:cs="仿宋"/>
                <w:sz w:val="21"/>
                <w:szCs w:val="21"/>
              </w:rPr>
            </w:pPr>
            <w:r>
              <w:rPr>
                <w:rFonts w:hint="eastAsia" w:ascii="仿宋" w:hAnsi="仿宋" w:eastAsia="仿宋" w:cs="仿宋"/>
                <w:sz w:val="21"/>
                <w:szCs w:val="21"/>
              </w:rPr>
              <w:t>《安徽省企业投资项目核准和备案管理实施办法》（皖发改投资规〔2017〕6号）</w:t>
            </w:r>
            <w:r>
              <w:rPr>
                <w:rFonts w:hint="eastAsia" w:ascii="仿宋" w:hAnsi="仿宋" w:eastAsia="仿宋" w:cs="仿宋"/>
                <w:sz w:val="21"/>
                <w:szCs w:val="21"/>
              </w:rPr>
              <w:br w:type="textWrapping"/>
            </w:r>
            <w:r>
              <w:rPr>
                <w:rFonts w:hint="eastAsia" w:ascii="仿宋" w:hAnsi="仿宋" w:eastAsia="仿宋" w:cs="仿宋"/>
                <w:sz w:val="21"/>
                <w:szCs w:val="21"/>
              </w:rPr>
              <w:t>第二十三条 ……企业投资建设应当分别由省政府投资主管部门、省政府行业管理部门核准的项目；应分别通过项目所在地设区的市级政府投资主管部门、行业管理部门向省政府投资主管部门、省政府行业管理部门转送项目申请报告，项目所在地设区的市级政府投资主管部门、行业管理部门应当自收到项目申请书之日起5个工作日内转送核准机关。属于省政府投资主管部门核准权限的项目，项目所在地设区的市级政府规定由地方政府行业管理部门转送的，可以由设区的市级政府投资主管部门与其联合报送。属于省政府投资主管部门、省政府行业管理部门核准权限的跨市项目，由项目投资企业向省政府投资主管部门、省政府行业管理部门报送项目申请报告，同时抄报项目所在地社区的市级政府投资主管部门、行业管理部门</w:t>
            </w:r>
          </w:p>
        </w:tc>
        <w:tc>
          <w:tcPr>
            <w:tcW w:w="105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仿宋" w:hAnsi="仿宋" w:eastAsia="仿宋" w:cs="仿宋"/>
                <w:sz w:val="28"/>
                <w:szCs w:val="28"/>
              </w:rPr>
            </w:pPr>
          </w:p>
        </w:tc>
        <w:tc>
          <w:tcPr>
            <w:tcW w:w="1054" w:type="dxa"/>
            <w:tcBorders>
              <w:top w:val="single" w:color="auto" w:sz="4" w:space="0"/>
              <w:left w:val="single" w:color="000000" w:sz="2" w:space="0"/>
              <w:bottom w:val="single" w:color="auto" w:sz="4"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仿宋" w:hAnsi="仿宋" w:eastAsia="仿宋" w:cs="仿宋"/>
                <w:sz w:val="28"/>
                <w:szCs w:val="28"/>
              </w:rPr>
            </w:pPr>
            <w:r>
              <w:rPr>
                <w:rFonts w:hint="eastAsia" w:ascii="仿宋" w:hAnsi="仿宋" w:eastAsia="仿宋" w:cs="仿宋"/>
                <w:sz w:val="28"/>
                <w:szCs w:val="28"/>
                <w:lang w:eastAsia="zh-CN"/>
              </w:rPr>
              <w:t>保留</w:t>
            </w:r>
          </w:p>
        </w:tc>
        <w:tc>
          <w:tcPr>
            <w:tcW w:w="2159" w:type="dxa"/>
            <w:tcBorders>
              <w:top w:val="single" w:color="auto" w:sz="4" w:space="0"/>
              <w:left w:val="single" w:color="000000" w:sz="2" w:space="0"/>
              <w:bottom w:val="single" w:color="auto" w:sz="4"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仿宋" w:hAnsi="仿宋" w:eastAsia="仿宋" w:cs="仿宋"/>
                <w:sz w:val="28"/>
                <w:szCs w:val="28"/>
              </w:rPr>
            </w:pPr>
            <w:r>
              <w:rPr>
                <w:rFonts w:hint="eastAsia" w:ascii="仿宋" w:hAnsi="仿宋" w:eastAsia="仿宋" w:cs="仿宋"/>
                <w:sz w:val="28"/>
                <w:szCs w:val="28"/>
              </w:rPr>
              <w:t>否</w:t>
            </w:r>
          </w:p>
        </w:tc>
      </w:tr>
      <w:tr>
        <w:tblPrEx>
          <w:tblCellMar>
            <w:top w:w="15" w:type="dxa"/>
            <w:left w:w="15" w:type="dxa"/>
            <w:bottom w:w="15" w:type="dxa"/>
            <w:right w:w="15" w:type="dxa"/>
          </w:tblCellMar>
        </w:tblPrEx>
        <w:trPr>
          <w:trHeight w:val="552" w:hRule="atLeast"/>
        </w:trPr>
        <w:tc>
          <w:tcPr>
            <w:tcW w:w="547"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widowControl/>
              <w:spacing w:line="360" w:lineRule="exact"/>
              <w:jc w:val="center"/>
              <w:rPr>
                <w:rFonts w:ascii="仿宋" w:hAnsi="仿宋" w:eastAsia="仿宋" w:cs="仿宋"/>
                <w:sz w:val="28"/>
                <w:szCs w:val="28"/>
              </w:rPr>
            </w:pPr>
          </w:p>
        </w:tc>
        <w:tc>
          <w:tcPr>
            <w:tcW w:w="1979" w:type="dxa"/>
            <w:tcBorders>
              <w:top w:val="single" w:color="auto" w:sz="4" w:space="0"/>
              <w:left w:val="single" w:color="000000" w:sz="2"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固定资产投资项目节能审查</w:t>
            </w:r>
          </w:p>
        </w:tc>
        <w:tc>
          <w:tcPr>
            <w:tcW w:w="1979" w:type="dxa"/>
            <w:tcBorders>
              <w:top w:val="single" w:color="000000" w:sz="2" w:space="0"/>
              <w:left w:val="single" w:color="auto" w:sz="4" w:space="0"/>
              <w:bottom w:val="single" w:color="000000" w:sz="2"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行政许可</w:t>
            </w:r>
          </w:p>
        </w:tc>
        <w:tc>
          <w:tcPr>
            <w:tcW w:w="1981" w:type="dxa"/>
            <w:tcBorders>
              <w:top w:val="single" w:color="000000" w:sz="2" w:space="0"/>
              <w:left w:val="single" w:color="auto" w:sz="4" w:space="0"/>
              <w:bottom w:val="single" w:color="000000" w:sz="2" w:space="0"/>
              <w:right w:val="single" w:color="000000" w:sz="2"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项目节能报告，辖区内企业、事业单位、社会团体等报请节能审查文件</w:t>
            </w:r>
          </w:p>
        </w:tc>
        <w:tc>
          <w:tcPr>
            <w:tcW w:w="5381"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widowControl/>
              <w:spacing w:line="280" w:lineRule="exact"/>
              <w:rPr>
                <w:rFonts w:ascii="仿宋" w:hAnsi="仿宋" w:eastAsia="仿宋" w:cs="仿宋"/>
                <w:sz w:val="21"/>
                <w:szCs w:val="21"/>
              </w:rPr>
            </w:pPr>
            <w:r>
              <w:rPr>
                <w:rFonts w:hint="eastAsia" w:ascii="仿宋" w:hAnsi="仿宋" w:eastAsia="仿宋" w:cs="仿宋"/>
                <w:sz w:val="21"/>
                <w:szCs w:val="21"/>
              </w:rPr>
              <w:t>《固定资产投资项目节能审查办法》（国家发展和改革委员会令第44号）</w:t>
            </w:r>
            <w:r>
              <w:rPr>
                <w:rFonts w:hint="eastAsia" w:ascii="仿宋" w:hAnsi="仿宋" w:eastAsia="仿宋" w:cs="仿宋"/>
                <w:sz w:val="21"/>
                <w:szCs w:val="21"/>
              </w:rPr>
              <w:br w:type="textWrapping"/>
            </w:r>
            <w:r>
              <w:rPr>
                <w:rFonts w:hint="eastAsia" w:ascii="仿宋" w:hAnsi="仿宋" w:eastAsia="仿宋" w:cs="仿宋"/>
                <w:sz w:val="21"/>
                <w:szCs w:val="21"/>
              </w:rPr>
              <w:t>第七条 建设单位应编制固定资产投资项目节能报告。项目节能报告应包括下列内容：分析评价依据；项目建设方案的节能分析和比选，包括总平面布置、生产工艺、用能工艺、用能设备和能源计量器具等方面；选取节能效果好、技术经济可行的节能技术和管理措施；项目能源消费量、能源消费结构、能源效率等</w:t>
            </w:r>
          </w:p>
        </w:tc>
        <w:tc>
          <w:tcPr>
            <w:tcW w:w="105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仿宋" w:hAnsi="仿宋" w:eastAsia="仿宋" w:cs="仿宋"/>
                <w:sz w:val="28"/>
                <w:szCs w:val="28"/>
              </w:rPr>
            </w:pPr>
          </w:p>
        </w:tc>
        <w:tc>
          <w:tcPr>
            <w:tcW w:w="1054" w:type="dxa"/>
            <w:tcBorders>
              <w:top w:val="single" w:color="auto" w:sz="4" w:space="0"/>
              <w:left w:val="single" w:color="000000" w:sz="2" w:space="0"/>
              <w:bottom w:val="single" w:color="auto" w:sz="4"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仿宋" w:hAnsi="仿宋" w:eastAsia="仿宋" w:cs="仿宋"/>
                <w:sz w:val="28"/>
                <w:szCs w:val="28"/>
              </w:rPr>
            </w:pPr>
            <w:r>
              <w:rPr>
                <w:rFonts w:hint="eastAsia" w:ascii="仿宋" w:hAnsi="仿宋" w:eastAsia="仿宋" w:cs="仿宋"/>
                <w:sz w:val="28"/>
                <w:szCs w:val="28"/>
                <w:lang w:eastAsia="zh-CN"/>
              </w:rPr>
              <w:t>保留</w:t>
            </w:r>
          </w:p>
        </w:tc>
        <w:tc>
          <w:tcPr>
            <w:tcW w:w="2159" w:type="dxa"/>
            <w:tcBorders>
              <w:top w:val="single" w:color="auto" w:sz="4" w:space="0"/>
              <w:left w:val="single" w:color="000000" w:sz="2" w:space="0"/>
              <w:bottom w:val="single" w:color="auto" w:sz="4"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仿宋" w:hAnsi="仿宋" w:eastAsia="仿宋" w:cs="仿宋"/>
                <w:sz w:val="28"/>
                <w:szCs w:val="28"/>
              </w:rPr>
            </w:pPr>
            <w:r>
              <w:rPr>
                <w:rFonts w:hint="eastAsia" w:ascii="仿宋" w:hAnsi="仿宋" w:eastAsia="仿宋" w:cs="仿宋"/>
                <w:sz w:val="28"/>
                <w:szCs w:val="28"/>
              </w:rPr>
              <w:t>否</w:t>
            </w:r>
          </w:p>
        </w:tc>
      </w:tr>
      <w:tr>
        <w:tblPrEx>
          <w:tblCellMar>
            <w:top w:w="15" w:type="dxa"/>
            <w:left w:w="15" w:type="dxa"/>
            <w:bottom w:w="15" w:type="dxa"/>
            <w:right w:w="15" w:type="dxa"/>
          </w:tblCellMar>
        </w:tblPrEx>
        <w:trPr>
          <w:trHeight w:val="552" w:hRule="atLeast"/>
        </w:trPr>
        <w:tc>
          <w:tcPr>
            <w:tcW w:w="547"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widowControl/>
              <w:spacing w:line="360" w:lineRule="exact"/>
              <w:jc w:val="center"/>
              <w:rPr>
                <w:rFonts w:ascii="仿宋" w:hAnsi="仿宋" w:eastAsia="仿宋" w:cs="仿宋"/>
                <w:sz w:val="28"/>
                <w:szCs w:val="28"/>
              </w:rPr>
            </w:pPr>
          </w:p>
        </w:tc>
        <w:tc>
          <w:tcPr>
            <w:tcW w:w="1979" w:type="dxa"/>
            <w:tcBorders>
              <w:top w:val="single" w:color="auto" w:sz="4" w:space="0"/>
              <w:left w:val="single" w:color="000000" w:sz="2"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服务价格登记证核发</w:t>
            </w:r>
          </w:p>
        </w:tc>
        <w:tc>
          <w:tcPr>
            <w:tcW w:w="1979" w:type="dxa"/>
            <w:tcBorders>
              <w:top w:val="single" w:color="000000" w:sz="2" w:space="0"/>
              <w:left w:val="single" w:color="auto" w:sz="4" w:space="0"/>
              <w:bottom w:val="single" w:color="000000" w:sz="2"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其他行政权力</w:t>
            </w:r>
          </w:p>
        </w:tc>
        <w:tc>
          <w:tcPr>
            <w:tcW w:w="1981" w:type="dxa"/>
            <w:tcBorders>
              <w:top w:val="single" w:color="000000" w:sz="2" w:space="0"/>
              <w:left w:val="single" w:color="auto" w:sz="4" w:space="0"/>
              <w:bottom w:val="single" w:color="000000" w:sz="2" w:space="0"/>
              <w:right w:val="single" w:color="000000" w:sz="2"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服务价格登记证申请表</w:t>
            </w:r>
          </w:p>
        </w:tc>
        <w:tc>
          <w:tcPr>
            <w:tcW w:w="5381"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widowControl/>
              <w:spacing w:line="280" w:lineRule="exact"/>
              <w:rPr>
                <w:rFonts w:ascii="仿宋" w:hAnsi="仿宋" w:eastAsia="仿宋" w:cs="仿宋"/>
                <w:sz w:val="21"/>
                <w:szCs w:val="21"/>
              </w:rPr>
            </w:pPr>
            <w:r>
              <w:rPr>
                <w:rFonts w:hint="eastAsia" w:ascii="仿宋" w:hAnsi="仿宋" w:eastAsia="仿宋" w:cs="仿宋"/>
                <w:sz w:val="21"/>
                <w:szCs w:val="21"/>
              </w:rPr>
              <w:t>《安徽省价格条例》（2011年2月25日安徽省人民代表大会常务委员会公告第33号）第三十五条：对实行政府指导价、政府定价的服务项目，县级以上人民政府价格主管部门应当免费向经营者发放服务价格登记证。经营者应当将服务价格登记证在经营场所或者缴费地点的显著位置公示，接受社会监督</w:t>
            </w:r>
          </w:p>
        </w:tc>
        <w:tc>
          <w:tcPr>
            <w:tcW w:w="105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仿宋" w:hAnsi="仿宋" w:eastAsia="仿宋" w:cs="仿宋"/>
                <w:sz w:val="28"/>
                <w:szCs w:val="28"/>
              </w:rPr>
            </w:pPr>
          </w:p>
        </w:tc>
        <w:tc>
          <w:tcPr>
            <w:tcW w:w="1054" w:type="dxa"/>
            <w:tcBorders>
              <w:top w:val="single" w:color="auto" w:sz="4" w:space="0"/>
              <w:left w:val="single" w:color="000000" w:sz="2" w:space="0"/>
              <w:bottom w:val="single" w:color="auto" w:sz="4"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仿宋" w:hAnsi="仿宋" w:eastAsia="仿宋" w:cs="仿宋"/>
                <w:sz w:val="28"/>
                <w:szCs w:val="28"/>
              </w:rPr>
            </w:pPr>
            <w:r>
              <w:rPr>
                <w:rFonts w:hint="eastAsia" w:ascii="仿宋" w:hAnsi="仿宋" w:eastAsia="仿宋" w:cs="仿宋"/>
                <w:sz w:val="28"/>
                <w:szCs w:val="28"/>
                <w:lang w:eastAsia="zh-CN"/>
              </w:rPr>
              <w:t>保留</w:t>
            </w:r>
          </w:p>
        </w:tc>
        <w:tc>
          <w:tcPr>
            <w:tcW w:w="2159" w:type="dxa"/>
            <w:tcBorders>
              <w:top w:val="single" w:color="auto" w:sz="4" w:space="0"/>
              <w:left w:val="single" w:color="000000" w:sz="2" w:space="0"/>
              <w:bottom w:val="single" w:color="auto" w:sz="4"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仿宋" w:hAnsi="仿宋" w:eastAsia="仿宋" w:cs="仿宋"/>
                <w:sz w:val="28"/>
                <w:szCs w:val="28"/>
              </w:rPr>
            </w:pPr>
            <w:r>
              <w:rPr>
                <w:rFonts w:hint="eastAsia" w:ascii="仿宋" w:hAnsi="仿宋" w:eastAsia="仿宋" w:cs="仿宋"/>
                <w:sz w:val="28"/>
                <w:szCs w:val="28"/>
              </w:rPr>
              <w:t>否</w:t>
            </w:r>
          </w:p>
        </w:tc>
      </w:tr>
      <w:tr>
        <w:tblPrEx>
          <w:tblCellMar>
            <w:top w:w="15" w:type="dxa"/>
            <w:left w:w="15" w:type="dxa"/>
            <w:bottom w:w="15" w:type="dxa"/>
            <w:right w:w="15" w:type="dxa"/>
          </w:tblCellMar>
        </w:tblPrEx>
        <w:trPr>
          <w:trHeight w:val="552" w:hRule="atLeast"/>
        </w:trPr>
        <w:tc>
          <w:tcPr>
            <w:tcW w:w="547"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widowControl/>
              <w:spacing w:line="360" w:lineRule="exact"/>
              <w:jc w:val="center"/>
              <w:rPr>
                <w:rFonts w:ascii="仿宋" w:hAnsi="仿宋" w:eastAsia="仿宋" w:cs="仿宋"/>
                <w:sz w:val="28"/>
                <w:szCs w:val="28"/>
              </w:rPr>
            </w:pPr>
          </w:p>
        </w:tc>
        <w:tc>
          <w:tcPr>
            <w:tcW w:w="1979" w:type="dxa"/>
            <w:tcBorders>
              <w:top w:val="single" w:color="auto" w:sz="4" w:space="0"/>
              <w:left w:val="single" w:color="000000" w:sz="2"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企业、事业单位、社会团体等投资建设的固定资产投资项目变更备案（外资项目）</w:t>
            </w:r>
          </w:p>
        </w:tc>
        <w:tc>
          <w:tcPr>
            <w:tcW w:w="1979" w:type="dxa"/>
            <w:tcBorders>
              <w:top w:val="single" w:color="000000" w:sz="2" w:space="0"/>
              <w:left w:val="single" w:color="auto" w:sz="4" w:space="0"/>
              <w:bottom w:val="single" w:color="000000" w:sz="2"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其他行政权力</w:t>
            </w:r>
          </w:p>
        </w:tc>
        <w:tc>
          <w:tcPr>
            <w:tcW w:w="1981" w:type="dxa"/>
            <w:tcBorders>
              <w:top w:val="single" w:color="000000" w:sz="2" w:space="0"/>
              <w:left w:val="single" w:color="auto" w:sz="4" w:space="0"/>
              <w:bottom w:val="single" w:color="000000" w:sz="2" w:space="0"/>
              <w:right w:val="single" w:color="000000" w:sz="2"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项目单位关于变更备案的申请</w:t>
            </w:r>
          </w:p>
        </w:tc>
        <w:tc>
          <w:tcPr>
            <w:tcW w:w="5381"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widowControl/>
              <w:spacing w:line="280" w:lineRule="exact"/>
              <w:rPr>
                <w:rFonts w:ascii="仿宋" w:hAnsi="仿宋" w:eastAsia="仿宋" w:cs="仿宋"/>
                <w:sz w:val="21"/>
                <w:szCs w:val="21"/>
              </w:rPr>
            </w:pPr>
            <w:r>
              <w:rPr>
                <w:rFonts w:hint="eastAsia" w:ascii="仿宋" w:hAnsi="仿宋" w:eastAsia="仿宋" w:cs="仿宋"/>
                <w:sz w:val="21"/>
                <w:szCs w:val="21"/>
              </w:rPr>
              <w:t>《安徽省发展改革委关于印发安徽省外商投资项目核准和备案管理办法的通知》（皖发改外资〔2015〕438号）第十五条 拟申请备案的外商投资项目需由项目申报单位提交项目和投资方基本情况等信息，并附中外投资各方的企业注册证明材料、投资意向书及增资、并购项目的公司董事会决议等其他相关材料。</w:t>
            </w:r>
          </w:p>
        </w:tc>
        <w:tc>
          <w:tcPr>
            <w:tcW w:w="105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仿宋" w:hAnsi="仿宋" w:eastAsia="仿宋" w:cs="仿宋"/>
                <w:sz w:val="28"/>
                <w:szCs w:val="28"/>
              </w:rPr>
            </w:pPr>
          </w:p>
        </w:tc>
        <w:tc>
          <w:tcPr>
            <w:tcW w:w="1054" w:type="dxa"/>
            <w:tcBorders>
              <w:top w:val="single" w:color="auto" w:sz="4" w:space="0"/>
              <w:left w:val="single" w:color="000000" w:sz="2" w:space="0"/>
              <w:bottom w:val="single" w:color="auto" w:sz="4"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仿宋" w:hAnsi="仿宋" w:eastAsia="仿宋" w:cs="仿宋"/>
                <w:sz w:val="28"/>
                <w:szCs w:val="28"/>
              </w:rPr>
            </w:pPr>
            <w:r>
              <w:rPr>
                <w:rFonts w:hint="eastAsia" w:ascii="仿宋" w:hAnsi="仿宋" w:eastAsia="仿宋" w:cs="仿宋"/>
                <w:sz w:val="28"/>
                <w:szCs w:val="28"/>
                <w:lang w:eastAsia="zh-CN"/>
              </w:rPr>
              <w:t>保留</w:t>
            </w:r>
          </w:p>
        </w:tc>
        <w:tc>
          <w:tcPr>
            <w:tcW w:w="2159" w:type="dxa"/>
            <w:tcBorders>
              <w:top w:val="single" w:color="auto" w:sz="4" w:space="0"/>
              <w:left w:val="single" w:color="000000" w:sz="2" w:space="0"/>
              <w:bottom w:val="single" w:color="auto" w:sz="4"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仿宋" w:hAnsi="仿宋" w:eastAsia="仿宋" w:cs="仿宋"/>
                <w:sz w:val="28"/>
                <w:szCs w:val="28"/>
              </w:rPr>
            </w:pPr>
            <w:r>
              <w:rPr>
                <w:rFonts w:hint="eastAsia" w:ascii="仿宋" w:hAnsi="仿宋" w:eastAsia="仿宋" w:cs="仿宋"/>
                <w:sz w:val="28"/>
                <w:szCs w:val="28"/>
              </w:rPr>
              <w:t>否</w:t>
            </w:r>
          </w:p>
        </w:tc>
      </w:tr>
      <w:tr>
        <w:tblPrEx>
          <w:tblCellMar>
            <w:top w:w="15" w:type="dxa"/>
            <w:left w:w="15" w:type="dxa"/>
            <w:bottom w:w="15" w:type="dxa"/>
            <w:right w:w="15" w:type="dxa"/>
          </w:tblCellMar>
        </w:tblPrEx>
        <w:trPr>
          <w:trHeight w:val="552" w:hRule="atLeast"/>
        </w:trPr>
        <w:tc>
          <w:tcPr>
            <w:tcW w:w="547"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widowControl/>
              <w:spacing w:line="360" w:lineRule="exact"/>
              <w:jc w:val="center"/>
              <w:rPr>
                <w:rFonts w:ascii="仿宋" w:hAnsi="仿宋" w:eastAsia="仿宋" w:cs="仿宋"/>
                <w:sz w:val="28"/>
                <w:szCs w:val="28"/>
              </w:rPr>
            </w:pPr>
          </w:p>
        </w:tc>
        <w:tc>
          <w:tcPr>
            <w:tcW w:w="1979" w:type="dxa"/>
            <w:tcBorders>
              <w:top w:val="single" w:color="auto" w:sz="4" w:space="0"/>
              <w:left w:val="single" w:color="000000" w:sz="2"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企业、事业单位、社会团体等投资建设的固定资产投资项目备案（内资项目）</w:t>
            </w:r>
          </w:p>
        </w:tc>
        <w:tc>
          <w:tcPr>
            <w:tcW w:w="1979" w:type="dxa"/>
            <w:tcBorders>
              <w:top w:val="single" w:color="000000" w:sz="2" w:space="0"/>
              <w:left w:val="single" w:color="auto" w:sz="4" w:space="0"/>
              <w:bottom w:val="single" w:color="000000" w:sz="2"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其他行政权力</w:t>
            </w:r>
          </w:p>
        </w:tc>
        <w:tc>
          <w:tcPr>
            <w:tcW w:w="1981" w:type="dxa"/>
            <w:tcBorders>
              <w:top w:val="single" w:color="000000" w:sz="2" w:space="0"/>
              <w:left w:val="single" w:color="auto" w:sz="4" w:space="0"/>
              <w:bottom w:val="single" w:color="000000" w:sz="2" w:space="0"/>
              <w:right w:val="single" w:color="000000" w:sz="2"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项目基本信息</w:t>
            </w:r>
          </w:p>
        </w:tc>
        <w:tc>
          <w:tcPr>
            <w:tcW w:w="5381"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widowControl/>
              <w:spacing w:line="280" w:lineRule="exact"/>
              <w:rPr>
                <w:rFonts w:ascii="仿宋" w:hAnsi="仿宋" w:eastAsia="仿宋" w:cs="仿宋"/>
                <w:sz w:val="21"/>
                <w:szCs w:val="21"/>
              </w:rPr>
            </w:pPr>
            <w:r>
              <w:rPr>
                <w:rFonts w:hint="eastAsia" w:ascii="仿宋" w:hAnsi="仿宋" w:eastAsia="仿宋" w:cs="仿宋"/>
                <w:sz w:val="21"/>
                <w:szCs w:val="21"/>
              </w:rPr>
              <w:t>《安徽省企业投资项目核准和备案管理实施办法》第四十条 项目备案机关应当制定项目备案基本信息格式文本，具体包括以下内容：（一）项目单位基本情况；（二）项目名称、建设地点、建设规模、建设内容；（三）项目总投资额；（四）项目符合产业政策声明。 项目单位应当对备案项目信息的真实性、合法性和完整性负责。</w:t>
            </w:r>
          </w:p>
        </w:tc>
        <w:tc>
          <w:tcPr>
            <w:tcW w:w="105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仿宋" w:hAnsi="仿宋" w:eastAsia="仿宋" w:cs="仿宋"/>
                <w:sz w:val="28"/>
                <w:szCs w:val="28"/>
              </w:rPr>
            </w:pPr>
          </w:p>
        </w:tc>
        <w:tc>
          <w:tcPr>
            <w:tcW w:w="1054" w:type="dxa"/>
            <w:tcBorders>
              <w:top w:val="single" w:color="auto" w:sz="4" w:space="0"/>
              <w:left w:val="single" w:color="000000" w:sz="2" w:space="0"/>
              <w:bottom w:val="single" w:color="auto" w:sz="4"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仿宋" w:hAnsi="仿宋" w:eastAsia="仿宋" w:cs="仿宋"/>
                <w:sz w:val="28"/>
                <w:szCs w:val="28"/>
              </w:rPr>
            </w:pPr>
            <w:r>
              <w:rPr>
                <w:rFonts w:hint="eastAsia" w:ascii="仿宋" w:hAnsi="仿宋" w:eastAsia="仿宋" w:cs="仿宋"/>
                <w:sz w:val="28"/>
                <w:szCs w:val="28"/>
                <w:lang w:eastAsia="zh-CN"/>
              </w:rPr>
              <w:t>保留</w:t>
            </w:r>
          </w:p>
        </w:tc>
        <w:tc>
          <w:tcPr>
            <w:tcW w:w="2159" w:type="dxa"/>
            <w:tcBorders>
              <w:top w:val="single" w:color="auto" w:sz="4" w:space="0"/>
              <w:left w:val="single" w:color="000000" w:sz="2" w:space="0"/>
              <w:bottom w:val="single" w:color="auto" w:sz="4"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仿宋" w:hAnsi="仿宋" w:eastAsia="仿宋" w:cs="仿宋"/>
                <w:sz w:val="28"/>
                <w:szCs w:val="28"/>
              </w:rPr>
            </w:pPr>
            <w:r>
              <w:rPr>
                <w:rFonts w:hint="eastAsia" w:ascii="仿宋" w:hAnsi="仿宋" w:eastAsia="仿宋" w:cs="仿宋"/>
                <w:sz w:val="28"/>
                <w:szCs w:val="28"/>
              </w:rPr>
              <w:t>否</w:t>
            </w:r>
          </w:p>
        </w:tc>
      </w:tr>
      <w:tr>
        <w:tblPrEx>
          <w:tblCellMar>
            <w:top w:w="15" w:type="dxa"/>
            <w:left w:w="15" w:type="dxa"/>
            <w:bottom w:w="15" w:type="dxa"/>
            <w:right w:w="15" w:type="dxa"/>
          </w:tblCellMar>
        </w:tblPrEx>
        <w:trPr>
          <w:trHeight w:val="552" w:hRule="atLeast"/>
        </w:trPr>
        <w:tc>
          <w:tcPr>
            <w:tcW w:w="547"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widowControl/>
              <w:spacing w:line="360" w:lineRule="exact"/>
              <w:jc w:val="center"/>
              <w:rPr>
                <w:rFonts w:ascii="仿宋" w:hAnsi="仿宋" w:eastAsia="仿宋" w:cs="仿宋"/>
                <w:sz w:val="28"/>
                <w:szCs w:val="28"/>
              </w:rPr>
            </w:pPr>
          </w:p>
        </w:tc>
        <w:tc>
          <w:tcPr>
            <w:tcW w:w="1979" w:type="dxa"/>
            <w:tcBorders>
              <w:top w:val="single" w:color="auto" w:sz="4" w:space="0"/>
              <w:left w:val="single" w:color="000000" w:sz="2"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企业、事业单位、社会团体等投资建设的固定资产投资项目变更备案（内资项目）</w:t>
            </w:r>
          </w:p>
        </w:tc>
        <w:tc>
          <w:tcPr>
            <w:tcW w:w="1979" w:type="dxa"/>
            <w:tcBorders>
              <w:top w:val="single" w:color="000000" w:sz="2" w:space="0"/>
              <w:left w:val="single" w:color="auto" w:sz="4" w:space="0"/>
              <w:bottom w:val="single" w:color="000000" w:sz="2"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其他行政权力</w:t>
            </w:r>
          </w:p>
        </w:tc>
        <w:tc>
          <w:tcPr>
            <w:tcW w:w="1981" w:type="dxa"/>
            <w:tcBorders>
              <w:top w:val="single" w:color="000000" w:sz="2" w:space="0"/>
              <w:left w:val="single" w:color="auto" w:sz="4" w:space="0"/>
              <w:bottom w:val="single" w:color="000000" w:sz="2" w:space="0"/>
              <w:right w:val="single" w:color="000000" w:sz="2"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项目基本信息</w:t>
            </w:r>
          </w:p>
        </w:tc>
        <w:tc>
          <w:tcPr>
            <w:tcW w:w="5381"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widowControl/>
              <w:spacing w:line="280" w:lineRule="exact"/>
              <w:rPr>
                <w:rFonts w:ascii="仿宋" w:hAnsi="仿宋" w:eastAsia="仿宋" w:cs="仿宋"/>
                <w:sz w:val="21"/>
                <w:szCs w:val="21"/>
              </w:rPr>
            </w:pPr>
            <w:r>
              <w:rPr>
                <w:rFonts w:hint="eastAsia" w:ascii="仿宋" w:hAnsi="仿宋" w:eastAsia="仿宋" w:cs="仿宋"/>
                <w:sz w:val="21"/>
                <w:szCs w:val="21"/>
              </w:rPr>
              <w:t>《安徽省企业投资项目核准和备案管理实施办法》第四十条 项目备案机关应当制定项目备案基本信息格式文本，具体包括以下内容：（一）项目单位基本情况；（二）项目名称、建设地点、建设规模、建设内容；（三）项目总投资额；（四）项目符合产业政策声明。 项目单位应当对备案项目信息的真实性、合法性和完整性负责。</w:t>
            </w:r>
          </w:p>
        </w:tc>
        <w:tc>
          <w:tcPr>
            <w:tcW w:w="105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仿宋" w:hAnsi="仿宋" w:eastAsia="仿宋" w:cs="仿宋"/>
                <w:sz w:val="28"/>
                <w:szCs w:val="28"/>
              </w:rPr>
            </w:pPr>
          </w:p>
        </w:tc>
        <w:tc>
          <w:tcPr>
            <w:tcW w:w="1054" w:type="dxa"/>
            <w:tcBorders>
              <w:top w:val="single" w:color="auto" w:sz="4" w:space="0"/>
              <w:left w:val="single" w:color="000000" w:sz="2" w:space="0"/>
              <w:bottom w:val="single" w:color="auto" w:sz="4"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仿宋" w:hAnsi="仿宋" w:eastAsia="仿宋" w:cs="仿宋"/>
                <w:sz w:val="28"/>
                <w:szCs w:val="28"/>
              </w:rPr>
            </w:pPr>
            <w:r>
              <w:rPr>
                <w:rFonts w:hint="eastAsia" w:ascii="仿宋" w:hAnsi="仿宋" w:eastAsia="仿宋" w:cs="仿宋"/>
                <w:sz w:val="28"/>
                <w:szCs w:val="28"/>
                <w:lang w:eastAsia="zh-CN"/>
              </w:rPr>
              <w:t>保留</w:t>
            </w:r>
          </w:p>
        </w:tc>
        <w:tc>
          <w:tcPr>
            <w:tcW w:w="2159" w:type="dxa"/>
            <w:tcBorders>
              <w:top w:val="single" w:color="auto" w:sz="4" w:space="0"/>
              <w:left w:val="single" w:color="000000" w:sz="2" w:space="0"/>
              <w:bottom w:val="single" w:color="auto" w:sz="4"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仿宋" w:hAnsi="仿宋" w:eastAsia="仿宋" w:cs="仿宋"/>
                <w:sz w:val="28"/>
                <w:szCs w:val="28"/>
              </w:rPr>
            </w:pPr>
            <w:r>
              <w:rPr>
                <w:rFonts w:hint="eastAsia" w:ascii="仿宋" w:hAnsi="仿宋" w:eastAsia="仿宋" w:cs="仿宋"/>
                <w:sz w:val="28"/>
                <w:szCs w:val="28"/>
              </w:rPr>
              <w:t>否</w:t>
            </w:r>
          </w:p>
        </w:tc>
      </w:tr>
      <w:tr>
        <w:tblPrEx>
          <w:tblCellMar>
            <w:top w:w="15" w:type="dxa"/>
            <w:left w:w="15" w:type="dxa"/>
            <w:bottom w:w="15" w:type="dxa"/>
            <w:right w:w="15" w:type="dxa"/>
          </w:tblCellMar>
        </w:tblPrEx>
        <w:trPr>
          <w:trHeight w:val="552" w:hRule="atLeast"/>
        </w:trPr>
        <w:tc>
          <w:tcPr>
            <w:tcW w:w="547"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widowControl/>
              <w:spacing w:line="360" w:lineRule="exact"/>
              <w:jc w:val="center"/>
              <w:rPr>
                <w:rFonts w:ascii="仿宋" w:hAnsi="仿宋" w:eastAsia="仿宋" w:cs="仿宋"/>
                <w:sz w:val="28"/>
                <w:szCs w:val="28"/>
              </w:rPr>
            </w:pPr>
          </w:p>
        </w:tc>
        <w:tc>
          <w:tcPr>
            <w:tcW w:w="1979" w:type="dxa"/>
            <w:tcBorders>
              <w:top w:val="single" w:color="auto" w:sz="4" w:space="0"/>
              <w:left w:val="single" w:color="000000" w:sz="2"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服务价格登记证遗失补发</w:t>
            </w:r>
          </w:p>
        </w:tc>
        <w:tc>
          <w:tcPr>
            <w:tcW w:w="1979" w:type="dxa"/>
            <w:tcBorders>
              <w:top w:val="single" w:color="000000" w:sz="2" w:space="0"/>
              <w:left w:val="single" w:color="auto" w:sz="4" w:space="0"/>
              <w:bottom w:val="single" w:color="000000" w:sz="2"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公共服务</w:t>
            </w:r>
          </w:p>
        </w:tc>
        <w:tc>
          <w:tcPr>
            <w:tcW w:w="1981" w:type="dxa"/>
            <w:tcBorders>
              <w:top w:val="single" w:color="000000" w:sz="2" w:space="0"/>
              <w:left w:val="single" w:color="auto" w:sz="4" w:space="0"/>
              <w:bottom w:val="single" w:color="000000" w:sz="2" w:space="0"/>
              <w:right w:val="single" w:color="000000" w:sz="2"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服务价格登记证申请表</w:t>
            </w:r>
          </w:p>
        </w:tc>
        <w:tc>
          <w:tcPr>
            <w:tcW w:w="5381"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widowControl/>
              <w:spacing w:line="360" w:lineRule="exact"/>
              <w:rPr>
                <w:rFonts w:ascii="仿宋" w:hAnsi="仿宋" w:eastAsia="仿宋" w:cs="仿宋"/>
                <w:sz w:val="21"/>
                <w:szCs w:val="21"/>
              </w:rPr>
            </w:pPr>
            <w:r>
              <w:rPr>
                <w:rFonts w:hint="eastAsia" w:ascii="仿宋" w:hAnsi="仿宋" w:eastAsia="仿宋" w:cs="仿宋"/>
                <w:sz w:val="21"/>
                <w:szCs w:val="21"/>
              </w:rPr>
              <w:t>《安徽省收费管理条例》第十九条：对行政性、事业性收费和实行国家定价的经营性服务收费实行许可证制度</w:t>
            </w:r>
          </w:p>
        </w:tc>
        <w:tc>
          <w:tcPr>
            <w:tcW w:w="105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仿宋" w:hAnsi="仿宋" w:eastAsia="仿宋" w:cs="仿宋"/>
                <w:sz w:val="28"/>
                <w:szCs w:val="28"/>
              </w:rPr>
            </w:pPr>
          </w:p>
        </w:tc>
        <w:tc>
          <w:tcPr>
            <w:tcW w:w="1054" w:type="dxa"/>
            <w:tcBorders>
              <w:top w:val="single" w:color="auto" w:sz="4" w:space="0"/>
              <w:left w:val="single" w:color="000000" w:sz="2" w:space="0"/>
              <w:bottom w:val="single" w:color="auto" w:sz="4"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仿宋" w:hAnsi="仿宋" w:eastAsia="仿宋" w:cs="仿宋"/>
                <w:sz w:val="28"/>
                <w:szCs w:val="28"/>
              </w:rPr>
            </w:pPr>
            <w:r>
              <w:rPr>
                <w:rFonts w:hint="eastAsia" w:ascii="仿宋" w:hAnsi="仿宋" w:eastAsia="仿宋" w:cs="仿宋"/>
                <w:sz w:val="28"/>
                <w:szCs w:val="28"/>
                <w:lang w:eastAsia="zh-CN"/>
              </w:rPr>
              <w:t>保留</w:t>
            </w:r>
          </w:p>
        </w:tc>
        <w:tc>
          <w:tcPr>
            <w:tcW w:w="2159" w:type="dxa"/>
            <w:tcBorders>
              <w:top w:val="single" w:color="auto" w:sz="4" w:space="0"/>
              <w:left w:val="single" w:color="000000" w:sz="2" w:space="0"/>
              <w:bottom w:val="single" w:color="auto" w:sz="4"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仿宋" w:hAnsi="仿宋" w:eastAsia="仿宋" w:cs="仿宋"/>
                <w:sz w:val="28"/>
                <w:szCs w:val="28"/>
              </w:rPr>
            </w:pPr>
            <w:r>
              <w:rPr>
                <w:rFonts w:hint="eastAsia" w:ascii="仿宋" w:hAnsi="仿宋" w:eastAsia="仿宋" w:cs="仿宋"/>
                <w:sz w:val="28"/>
                <w:szCs w:val="28"/>
              </w:rPr>
              <w:t>否</w:t>
            </w:r>
          </w:p>
        </w:tc>
      </w:tr>
      <w:tr>
        <w:tblPrEx>
          <w:tblCellMar>
            <w:top w:w="15" w:type="dxa"/>
            <w:left w:w="15" w:type="dxa"/>
            <w:bottom w:w="15" w:type="dxa"/>
            <w:right w:w="15" w:type="dxa"/>
          </w:tblCellMar>
        </w:tblPrEx>
        <w:trPr>
          <w:trHeight w:val="552" w:hRule="atLeast"/>
        </w:trPr>
        <w:tc>
          <w:tcPr>
            <w:tcW w:w="547"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widowControl/>
              <w:spacing w:line="360" w:lineRule="exact"/>
              <w:jc w:val="center"/>
              <w:rPr>
                <w:rFonts w:ascii="仿宋" w:hAnsi="仿宋" w:eastAsia="仿宋" w:cs="仿宋"/>
                <w:sz w:val="28"/>
                <w:szCs w:val="28"/>
              </w:rPr>
            </w:pPr>
          </w:p>
        </w:tc>
        <w:tc>
          <w:tcPr>
            <w:tcW w:w="1979" w:type="dxa"/>
            <w:tcBorders>
              <w:top w:val="single" w:color="auto" w:sz="4" w:space="0"/>
              <w:left w:val="single" w:color="000000" w:sz="2"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农产品进口关税配额申请材料转报</w:t>
            </w:r>
          </w:p>
        </w:tc>
        <w:tc>
          <w:tcPr>
            <w:tcW w:w="1979" w:type="dxa"/>
            <w:tcBorders>
              <w:top w:val="single" w:color="000000" w:sz="2" w:space="0"/>
              <w:left w:val="single" w:color="auto" w:sz="4" w:space="0"/>
              <w:bottom w:val="single" w:color="000000" w:sz="2"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公共服务</w:t>
            </w:r>
          </w:p>
        </w:tc>
        <w:tc>
          <w:tcPr>
            <w:tcW w:w="1981" w:type="dxa"/>
            <w:tcBorders>
              <w:top w:val="single" w:color="000000" w:sz="2" w:space="0"/>
              <w:left w:val="single" w:color="auto" w:sz="4" w:space="0"/>
              <w:bottom w:val="single" w:color="000000" w:sz="2" w:space="0"/>
              <w:right w:val="single" w:color="000000" w:sz="2"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农产品进口关税配额申请表</w:t>
            </w:r>
          </w:p>
        </w:tc>
        <w:tc>
          <w:tcPr>
            <w:tcW w:w="5381"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widowControl/>
              <w:spacing w:line="360" w:lineRule="exact"/>
              <w:rPr>
                <w:rFonts w:ascii="仿宋" w:hAnsi="仿宋" w:eastAsia="仿宋" w:cs="仿宋"/>
                <w:sz w:val="21"/>
                <w:szCs w:val="21"/>
              </w:rPr>
            </w:pPr>
            <w:r>
              <w:rPr>
                <w:rFonts w:hint="eastAsia" w:ascii="仿宋" w:hAnsi="仿宋" w:eastAsia="仿宋" w:cs="仿宋"/>
                <w:sz w:val="21"/>
                <w:szCs w:val="21"/>
              </w:rPr>
              <w:t>国家发改委当年印发的《××年粮食进口关税配额申领条件和分配原则》和《××年棉花进口关税配额申领条件和分配原则》规定</w:t>
            </w:r>
          </w:p>
        </w:tc>
        <w:tc>
          <w:tcPr>
            <w:tcW w:w="105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仿宋" w:hAnsi="仿宋" w:eastAsia="仿宋" w:cs="仿宋"/>
                <w:sz w:val="28"/>
                <w:szCs w:val="28"/>
              </w:rPr>
            </w:pPr>
          </w:p>
        </w:tc>
        <w:tc>
          <w:tcPr>
            <w:tcW w:w="1054" w:type="dxa"/>
            <w:tcBorders>
              <w:top w:val="single" w:color="auto" w:sz="4" w:space="0"/>
              <w:left w:val="single" w:color="000000" w:sz="2" w:space="0"/>
              <w:bottom w:val="single" w:color="auto" w:sz="4"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仿宋" w:hAnsi="仿宋" w:eastAsia="仿宋" w:cs="仿宋"/>
                <w:sz w:val="28"/>
                <w:szCs w:val="28"/>
              </w:rPr>
            </w:pPr>
            <w:r>
              <w:rPr>
                <w:rFonts w:hint="eastAsia" w:ascii="仿宋" w:hAnsi="仿宋" w:eastAsia="仿宋" w:cs="仿宋"/>
                <w:sz w:val="28"/>
                <w:szCs w:val="28"/>
                <w:lang w:eastAsia="zh-CN"/>
              </w:rPr>
              <w:t>保留</w:t>
            </w:r>
          </w:p>
        </w:tc>
        <w:tc>
          <w:tcPr>
            <w:tcW w:w="2159" w:type="dxa"/>
            <w:tcBorders>
              <w:top w:val="single" w:color="auto" w:sz="4" w:space="0"/>
              <w:left w:val="single" w:color="000000" w:sz="2" w:space="0"/>
              <w:bottom w:val="single" w:color="auto" w:sz="4"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仿宋" w:hAnsi="仿宋" w:eastAsia="仿宋" w:cs="仿宋"/>
                <w:sz w:val="28"/>
                <w:szCs w:val="28"/>
              </w:rPr>
            </w:pPr>
            <w:r>
              <w:rPr>
                <w:rFonts w:hint="eastAsia" w:ascii="仿宋" w:hAnsi="仿宋" w:eastAsia="仿宋" w:cs="仿宋"/>
                <w:sz w:val="28"/>
                <w:szCs w:val="28"/>
              </w:rPr>
              <w:t>否</w:t>
            </w:r>
          </w:p>
        </w:tc>
      </w:tr>
      <w:tr>
        <w:tblPrEx>
          <w:tblCellMar>
            <w:top w:w="15" w:type="dxa"/>
            <w:left w:w="15" w:type="dxa"/>
            <w:bottom w:w="15" w:type="dxa"/>
            <w:right w:w="15" w:type="dxa"/>
          </w:tblCellMar>
        </w:tblPrEx>
        <w:trPr>
          <w:trHeight w:val="552" w:hRule="atLeast"/>
        </w:trPr>
        <w:tc>
          <w:tcPr>
            <w:tcW w:w="547"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widowControl/>
              <w:spacing w:line="360" w:lineRule="exact"/>
              <w:jc w:val="center"/>
              <w:rPr>
                <w:rFonts w:ascii="仿宋" w:hAnsi="仿宋" w:eastAsia="仿宋" w:cs="仿宋"/>
                <w:sz w:val="28"/>
                <w:szCs w:val="28"/>
              </w:rPr>
            </w:pPr>
          </w:p>
        </w:tc>
        <w:tc>
          <w:tcPr>
            <w:tcW w:w="1979" w:type="dxa"/>
            <w:tcBorders>
              <w:top w:val="single" w:color="auto" w:sz="4" w:space="0"/>
              <w:left w:val="single" w:color="000000" w:sz="2"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企事业单位物价员培训</w:t>
            </w:r>
          </w:p>
        </w:tc>
        <w:tc>
          <w:tcPr>
            <w:tcW w:w="1979" w:type="dxa"/>
            <w:tcBorders>
              <w:top w:val="single" w:color="000000" w:sz="2" w:space="0"/>
              <w:left w:val="single" w:color="auto" w:sz="4" w:space="0"/>
              <w:bottom w:val="single" w:color="000000" w:sz="2"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公共服务</w:t>
            </w:r>
          </w:p>
        </w:tc>
        <w:tc>
          <w:tcPr>
            <w:tcW w:w="1981" w:type="dxa"/>
            <w:tcBorders>
              <w:top w:val="single" w:color="000000" w:sz="2" w:space="0"/>
              <w:left w:val="single" w:color="auto" w:sz="4" w:space="0"/>
              <w:bottom w:val="single" w:color="000000" w:sz="2" w:space="0"/>
              <w:right w:val="single" w:color="000000" w:sz="2"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关于对我单位物价员进行培训的申请</w:t>
            </w:r>
          </w:p>
        </w:tc>
        <w:tc>
          <w:tcPr>
            <w:tcW w:w="5381"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widowControl/>
              <w:spacing w:line="360" w:lineRule="exact"/>
              <w:rPr>
                <w:rFonts w:ascii="仿宋" w:hAnsi="仿宋" w:eastAsia="仿宋" w:cs="仿宋"/>
                <w:sz w:val="21"/>
                <w:szCs w:val="21"/>
              </w:rPr>
            </w:pPr>
            <w:r>
              <w:rPr>
                <w:rFonts w:hint="eastAsia" w:ascii="仿宋" w:hAnsi="仿宋" w:eastAsia="仿宋" w:cs="仿宋"/>
                <w:sz w:val="21"/>
                <w:szCs w:val="21"/>
              </w:rPr>
              <w:t>国家计委《关于加强企事业单位物价员工作意见的通知》（计价检〔2002〕2844号）第四条：要通过组织物价员培训，使其熟悉价格管理的政策法规，掌握与价格管理有关的成本核算、市场营销等方面的知识，不断提高物价员自身素质</w:t>
            </w:r>
          </w:p>
        </w:tc>
        <w:tc>
          <w:tcPr>
            <w:tcW w:w="105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仿宋" w:hAnsi="仿宋" w:eastAsia="仿宋" w:cs="仿宋"/>
                <w:sz w:val="28"/>
                <w:szCs w:val="28"/>
              </w:rPr>
            </w:pPr>
          </w:p>
        </w:tc>
        <w:tc>
          <w:tcPr>
            <w:tcW w:w="1054" w:type="dxa"/>
            <w:tcBorders>
              <w:top w:val="single" w:color="auto" w:sz="4" w:space="0"/>
              <w:left w:val="single" w:color="000000" w:sz="2" w:space="0"/>
              <w:bottom w:val="single" w:color="auto" w:sz="4"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仿宋" w:hAnsi="仿宋" w:eastAsia="仿宋" w:cs="仿宋"/>
                <w:sz w:val="28"/>
                <w:szCs w:val="28"/>
              </w:rPr>
            </w:pPr>
            <w:r>
              <w:rPr>
                <w:rFonts w:hint="eastAsia" w:ascii="仿宋" w:hAnsi="仿宋" w:eastAsia="仿宋" w:cs="仿宋"/>
                <w:sz w:val="28"/>
                <w:szCs w:val="28"/>
                <w:lang w:eastAsia="zh-CN"/>
              </w:rPr>
              <w:t>保留</w:t>
            </w:r>
          </w:p>
        </w:tc>
        <w:tc>
          <w:tcPr>
            <w:tcW w:w="2159" w:type="dxa"/>
            <w:tcBorders>
              <w:top w:val="single" w:color="auto" w:sz="4" w:space="0"/>
              <w:left w:val="single" w:color="000000" w:sz="2" w:space="0"/>
              <w:bottom w:val="single" w:color="auto" w:sz="4"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仿宋" w:hAnsi="仿宋" w:eastAsia="仿宋" w:cs="仿宋"/>
                <w:sz w:val="28"/>
                <w:szCs w:val="28"/>
              </w:rPr>
            </w:pPr>
            <w:r>
              <w:rPr>
                <w:rFonts w:hint="eastAsia" w:ascii="仿宋" w:hAnsi="仿宋" w:eastAsia="仿宋" w:cs="仿宋"/>
                <w:sz w:val="28"/>
                <w:szCs w:val="28"/>
              </w:rPr>
              <w:t>否</w:t>
            </w:r>
          </w:p>
        </w:tc>
      </w:tr>
    </w:tbl>
    <w:p/>
    <w:p/>
    <w:p/>
    <w:p/>
    <w:p/>
    <w:p/>
    <w:p/>
    <w:p/>
    <w:p/>
    <w:p>
      <w:pPr>
        <w:jc w:val="center"/>
        <w:rPr>
          <w:rFonts w:ascii="方正小标宋简体" w:hAnsi="方正小标宋简体" w:eastAsia="方正小标宋简体" w:cs="方正小标宋简体"/>
          <w:spacing w:val="7"/>
          <w:kern w:val="0"/>
          <w:sz w:val="44"/>
          <w:szCs w:val="44"/>
        </w:rPr>
      </w:pPr>
      <w:r>
        <w:rPr>
          <w:rFonts w:hint="eastAsia" w:ascii="方正小标宋简体" w:hAnsi="方正小标宋简体" w:eastAsia="方正小标宋简体" w:cs="方正小标宋简体"/>
          <w:spacing w:val="7"/>
          <w:kern w:val="0"/>
          <w:sz w:val="44"/>
          <w:szCs w:val="44"/>
        </w:rPr>
        <w:t>潘集区政务服务事项所需证明材料清理结果一览表</w:t>
      </w:r>
    </w:p>
    <w:p>
      <w:pPr>
        <w:spacing w:line="320" w:lineRule="exact"/>
        <w:jc w:val="center"/>
        <w:rPr>
          <w:rFonts w:ascii="方正小标宋简体" w:hAnsi="方正小标宋简体" w:eastAsia="方正小标宋简体" w:cs="方正小标宋简体"/>
          <w:spacing w:val="7"/>
          <w:kern w:val="0"/>
          <w:sz w:val="44"/>
          <w:szCs w:val="44"/>
        </w:rPr>
      </w:pPr>
    </w:p>
    <w:tbl>
      <w:tblPr>
        <w:tblStyle w:val="4"/>
        <w:tblW w:w="16134" w:type="dxa"/>
        <w:tblInd w:w="-1108" w:type="dxa"/>
        <w:tblLayout w:type="fixed"/>
        <w:tblCellMar>
          <w:top w:w="15" w:type="dxa"/>
          <w:left w:w="15" w:type="dxa"/>
          <w:bottom w:w="15" w:type="dxa"/>
          <w:right w:w="15" w:type="dxa"/>
        </w:tblCellMar>
      </w:tblPr>
      <w:tblGrid>
        <w:gridCol w:w="528"/>
        <w:gridCol w:w="1913"/>
        <w:gridCol w:w="1416"/>
        <w:gridCol w:w="2261"/>
        <w:gridCol w:w="5736"/>
        <w:gridCol w:w="1053"/>
        <w:gridCol w:w="1053"/>
        <w:gridCol w:w="2174"/>
      </w:tblGrid>
      <w:tr>
        <w:tblPrEx>
          <w:tblCellMar>
            <w:top w:w="15" w:type="dxa"/>
            <w:left w:w="15" w:type="dxa"/>
            <w:bottom w:w="15" w:type="dxa"/>
            <w:right w:w="15" w:type="dxa"/>
          </w:tblCellMar>
        </w:tblPrEx>
        <w:trPr>
          <w:trHeight w:val="544" w:hRule="atLeast"/>
        </w:trPr>
        <w:tc>
          <w:tcPr>
            <w:tcW w:w="528" w:type="dxa"/>
            <w:vMerge w:val="restart"/>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黑体" w:hAnsi="黑体" w:eastAsia="黑体" w:cs="黑体"/>
                <w:sz w:val="28"/>
                <w:szCs w:val="28"/>
              </w:rPr>
            </w:pPr>
            <w:r>
              <w:rPr>
                <w:rFonts w:hint="eastAsia" w:ascii="黑体" w:hAnsi="黑体" w:eastAsia="黑体" w:cs="黑体"/>
                <w:sz w:val="28"/>
                <w:szCs w:val="28"/>
              </w:rPr>
              <w:t>序</w:t>
            </w:r>
          </w:p>
          <w:p>
            <w:pPr>
              <w:pStyle w:val="3"/>
              <w:widowControl/>
              <w:spacing w:before="0" w:beforeAutospacing="0" w:after="0" w:afterAutospacing="0" w:line="360" w:lineRule="exact"/>
              <w:jc w:val="center"/>
              <w:rPr>
                <w:rFonts w:ascii="黑体" w:hAnsi="黑体" w:eastAsia="黑体" w:cs="黑体"/>
                <w:sz w:val="28"/>
                <w:szCs w:val="28"/>
              </w:rPr>
            </w:pPr>
            <w:r>
              <w:rPr>
                <w:rFonts w:hint="eastAsia" w:ascii="黑体" w:hAnsi="黑体" w:eastAsia="黑体" w:cs="黑体"/>
                <w:sz w:val="28"/>
                <w:szCs w:val="28"/>
              </w:rPr>
              <w:t>号</w:t>
            </w:r>
          </w:p>
        </w:tc>
        <w:tc>
          <w:tcPr>
            <w:tcW w:w="1913" w:type="dxa"/>
            <w:vMerge w:val="restart"/>
            <w:tcBorders>
              <w:top w:val="single" w:color="000000" w:sz="2" w:space="0"/>
              <w:left w:val="single" w:color="000000" w:sz="2" w:space="0"/>
              <w:right w:val="single" w:color="auto" w:sz="4"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黑体" w:hAnsi="黑体" w:eastAsia="黑体" w:cs="黑体"/>
                <w:sz w:val="28"/>
                <w:szCs w:val="28"/>
              </w:rPr>
            </w:pPr>
            <w:r>
              <w:rPr>
                <w:rFonts w:hint="eastAsia" w:ascii="黑体" w:hAnsi="黑体" w:eastAsia="黑体" w:cs="黑体"/>
                <w:sz w:val="28"/>
                <w:szCs w:val="28"/>
              </w:rPr>
              <w:t>服务事项</w:t>
            </w:r>
          </w:p>
        </w:tc>
        <w:tc>
          <w:tcPr>
            <w:tcW w:w="1416" w:type="dxa"/>
            <w:vMerge w:val="restart"/>
            <w:tcBorders>
              <w:top w:val="single" w:color="000000" w:sz="2" w:space="0"/>
              <w:left w:val="single" w:color="auto" w:sz="4" w:space="0"/>
              <w:bottom w:val="single" w:color="000000" w:sz="2" w:space="0"/>
              <w:right w:val="single" w:color="auto" w:sz="4"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黑体" w:hAnsi="黑体" w:eastAsia="黑体" w:cs="黑体"/>
                <w:sz w:val="28"/>
                <w:szCs w:val="28"/>
              </w:rPr>
            </w:pPr>
            <w:r>
              <w:rPr>
                <w:rFonts w:hint="eastAsia" w:ascii="黑体" w:hAnsi="黑体" w:eastAsia="黑体" w:cs="黑体"/>
                <w:sz w:val="28"/>
                <w:szCs w:val="28"/>
              </w:rPr>
              <w:t>事项类型</w:t>
            </w:r>
          </w:p>
        </w:tc>
        <w:tc>
          <w:tcPr>
            <w:tcW w:w="2261" w:type="dxa"/>
            <w:vMerge w:val="restart"/>
            <w:tcBorders>
              <w:top w:val="single" w:color="000000" w:sz="2" w:space="0"/>
              <w:left w:val="single" w:color="auto" w:sz="4" w:space="0"/>
              <w:bottom w:val="single" w:color="000000" w:sz="2"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黑体" w:hAnsi="黑体" w:eastAsia="黑体" w:cs="黑体"/>
                <w:sz w:val="28"/>
                <w:szCs w:val="28"/>
              </w:rPr>
            </w:pPr>
            <w:r>
              <w:rPr>
                <w:rFonts w:hint="eastAsia" w:ascii="黑体" w:hAnsi="黑体" w:eastAsia="黑体" w:cs="黑体"/>
                <w:sz w:val="28"/>
                <w:szCs w:val="28"/>
              </w:rPr>
              <w:t>证明材料</w:t>
            </w:r>
          </w:p>
        </w:tc>
        <w:tc>
          <w:tcPr>
            <w:tcW w:w="5736" w:type="dxa"/>
            <w:vMerge w:val="restart"/>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黑体" w:hAnsi="黑体" w:eastAsia="黑体" w:cs="黑体"/>
                <w:sz w:val="28"/>
                <w:szCs w:val="28"/>
              </w:rPr>
            </w:pPr>
            <w:r>
              <w:rPr>
                <w:rFonts w:hint="eastAsia" w:ascii="黑体" w:hAnsi="黑体" w:eastAsia="黑体" w:cs="黑体"/>
                <w:sz w:val="28"/>
                <w:szCs w:val="28"/>
              </w:rPr>
              <w:t>设定依据</w:t>
            </w:r>
          </w:p>
          <w:p>
            <w:pPr>
              <w:pStyle w:val="3"/>
              <w:widowControl/>
              <w:spacing w:before="0" w:beforeAutospacing="0" w:after="0" w:afterAutospacing="0" w:line="360" w:lineRule="exact"/>
              <w:jc w:val="center"/>
              <w:rPr>
                <w:rFonts w:ascii="黑体" w:hAnsi="黑体" w:eastAsia="黑体" w:cs="黑体"/>
                <w:sz w:val="28"/>
                <w:szCs w:val="28"/>
              </w:rPr>
            </w:pPr>
            <w:r>
              <w:rPr>
                <w:rFonts w:hint="eastAsia" w:ascii="黑体" w:hAnsi="黑体" w:eastAsia="黑体" w:cs="黑体"/>
                <w:sz w:val="28"/>
                <w:szCs w:val="28"/>
              </w:rPr>
              <w:t>（名称、文号、条款）</w:t>
            </w:r>
          </w:p>
        </w:tc>
        <w:tc>
          <w:tcPr>
            <w:tcW w:w="2106" w:type="dxa"/>
            <w:gridSpan w:val="2"/>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黑体" w:hAnsi="黑体" w:eastAsia="黑体" w:cs="黑体"/>
                <w:sz w:val="28"/>
                <w:szCs w:val="28"/>
              </w:rPr>
            </w:pPr>
            <w:r>
              <w:rPr>
                <w:rFonts w:hint="eastAsia" w:ascii="黑体" w:hAnsi="黑体" w:eastAsia="黑体" w:cs="黑体"/>
                <w:sz w:val="28"/>
                <w:szCs w:val="28"/>
              </w:rPr>
              <w:t>清理意见</w:t>
            </w:r>
          </w:p>
        </w:tc>
        <w:tc>
          <w:tcPr>
            <w:tcW w:w="2174" w:type="dxa"/>
            <w:vMerge w:val="restart"/>
            <w:tcBorders>
              <w:top w:val="single" w:color="000000" w:sz="2" w:space="0"/>
              <w:left w:val="single" w:color="000000" w:sz="2"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黑体" w:hAnsi="黑体" w:eastAsia="黑体" w:cs="黑体"/>
                <w:sz w:val="28"/>
                <w:szCs w:val="28"/>
              </w:rPr>
            </w:pPr>
            <w:r>
              <w:rPr>
                <w:rFonts w:hint="eastAsia" w:ascii="黑体" w:hAnsi="黑体" w:eastAsia="黑体" w:cs="黑体"/>
                <w:sz w:val="28"/>
                <w:szCs w:val="28"/>
              </w:rPr>
              <w:t>是否适用告知承诺制</w:t>
            </w:r>
          </w:p>
        </w:tc>
      </w:tr>
      <w:tr>
        <w:tblPrEx>
          <w:tblCellMar>
            <w:top w:w="15" w:type="dxa"/>
            <w:left w:w="15" w:type="dxa"/>
            <w:bottom w:w="15" w:type="dxa"/>
            <w:right w:w="15" w:type="dxa"/>
          </w:tblCellMar>
        </w:tblPrEx>
        <w:trPr>
          <w:trHeight w:val="552" w:hRule="atLeast"/>
        </w:trPr>
        <w:tc>
          <w:tcPr>
            <w:tcW w:w="528" w:type="dxa"/>
            <w:vMerge w:val="continue"/>
            <w:tcBorders>
              <w:top w:val="single" w:color="000000" w:sz="2" w:space="0"/>
              <w:left w:val="single" w:color="000000" w:sz="2" w:space="0"/>
              <w:bottom w:val="single" w:color="auto" w:sz="4" w:space="0"/>
              <w:right w:val="single" w:color="000000" w:sz="2" w:space="0"/>
            </w:tcBorders>
            <w:tcMar>
              <w:top w:w="0" w:type="dxa"/>
              <w:left w:w="0" w:type="dxa"/>
              <w:bottom w:w="0" w:type="dxa"/>
              <w:right w:w="0" w:type="dxa"/>
            </w:tcMar>
            <w:vAlign w:val="center"/>
          </w:tcPr>
          <w:p>
            <w:pPr>
              <w:widowControl/>
              <w:spacing w:line="360" w:lineRule="exact"/>
              <w:rPr>
                <w:rFonts w:ascii="黑体" w:hAnsi="黑体" w:eastAsia="黑体" w:cs="黑体"/>
                <w:sz w:val="28"/>
                <w:szCs w:val="28"/>
              </w:rPr>
            </w:pPr>
          </w:p>
        </w:tc>
        <w:tc>
          <w:tcPr>
            <w:tcW w:w="1913" w:type="dxa"/>
            <w:vMerge w:val="continue"/>
            <w:tcBorders>
              <w:left w:val="single" w:color="000000" w:sz="2" w:space="0"/>
              <w:bottom w:val="single" w:color="auto" w:sz="4" w:space="0"/>
              <w:right w:val="single" w:color="auto" w:sz="4" w:space="0"/>
            </w:tcBorders>
            <w:tcMar>
              <w:top w:w="0" w:type="dxa"/>
              <w:left w:w="0" w:type="dxa"/>
              <w:bottom w:w="0" w:type="dxa"/>
              <w:right w:w="0" w:type="dxa"/>
            </w:tcMar>
            <w:vAlign w:val="center"/>
          </w:tcPr>
          <w:p>
            <w:pPr>
              <w:widowControl/>
              <w:spacing w:line="360" w:lineRule="exact"/>
              <w:rPr>
                <w:rFonts w:ascii="黑体" w:hAnsi="黑体" w:eastAsia="黑体" w:cs="黑体"/>
                <w:sz w:val="28"/>
                <w:szCs w:val="28"/>
              </w:rPr>
            </w:pPr>
          </w:p>
        </w:tc>
        <w:tc>
          <w:tcPr>
            <w:tcW w:w="1416" w:type="dxa"/>
            <w:vMerge w:val="continue"/>
            <w:tcBorders>
              <w:top w:val="single" w:color="000000" w:sz="2" w:space="0"/>
              <w:left w:val="single" w:color="auto" w:sz="4" w:space="0"/>
              <w:bottom w:val="single" w:color="000000" w:sz="2" w:space="0"/>
              <w:right w:val="single" w:color="auto" w:sz="4" w:space="0"/>
            </w:tcBorders>
            <w:tcMar>
              <w:top w:w="0" w:type="dxa"/>
              <w:left w:w="0" w:type="dxa"/>
              <w:bottom w:w="0" w:type="dxa"/>
              <w:right w:w="0" w:type="dxa"/>
            </w:tcMar>
            <w:vAlign w:val="center"/>
          </w:tcPr>
          <w:p>
            <w:pPr>
              <w:widowControl/>
              <w:spacing w:line="360" w:lineRule="exact"/>
              <w:rPr>
                <w:rFonts w:ascii="黑体" w:hAnsi="黑体" w:eastAsia="黑体" w:cs="黑体"/>
                <w:sz w:val="28"/>
                <w:szCs w:val="28"/>
              </w:rPr>
            </w:pPr>
          </w:p>
        </w:tc>
        <w:tc>
          <w:tcPr>
            <w:tcW w:w="2261" w:type="dxa"/>
            <w:vMerge w:val="continue"/>
            <w:tcBorders>
              <w:top w:val="single" w:color="000000" w:sz="2" w:space="0"/>
              <w:left w:val="single" w:color="auto" w:sz="4" w:space="0"/>
              <w:bottom w:val="single" w:color="000000" w:sz="2" w:space="0"/>
              <w:right w:val="single" w:color="000000" w:sz="2" w:space="0"/>
            </w:tcBorders>
            <w:tcMar>
              <w:top w:w="0" w:type="dxa"/>
              <w:left w:w="0" w:type="dxa"/>
              <w:bottom w:w="0" w:type="dxa"/>
              <w:right w:w="0" w:type="dxa"/>
            </w:tcMar>
            <w:vAlign w:val="center"/>
          </w:tcPr>
          <w:p>
            <w:pPr>
              <w:widowControl/>
              <w:spacing w:line="360" w:lineRule="exact"/>
              <w:rPr>
                <w:rFonts w:ascii="黑体" w:hAnsi="黑体" w:eastAsia="黑体" w:cs="黑体"/>
                <w:sz w:val="28"/>
                <w:szCs w:val="28"/>
              </w:rPr>
            </w:pPr>
          </w:p>
        </w:tc>
        <w:tc>
          <w:tcPr>
            <w:tcW w:w="5736" w:type="dxa"/>
            <w:vMerge w:val="continue"/>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widowControl/>
              <w:spacing w:line="360" w:lineRule="exact"/>
              <w:rPr>
                <w:rFonts w:ascii="黑体" w:hAnsi="黑体" w:eastAsia="黑体" w:cs="黑体"/>
                <w:sz w:val="28"/>
                <w:szCs w:val="28"/>
              </w:rPr>
            </w:pPr>
          </w:p>
        </w:tc>
        <w:tc>
          <w:tcPr>
            <w:tcW w:w="105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黑体" w:hAnsi="黑体" w:eastAsia="黑体" w:cs="黑体"/>
                <w:sz w:val="28"/>
                <w:szCs w:val="28"/>
              </w:rPr>
            </w:pPr>
            <w:r>
              <w:rPr>
                <w:rFonts w:hint="eastAsia" w:ascii="黑体" w:hAnsi="黑体" w:eastAsia="黑体" w:cs="黑体"/>
                <w:sz w:val="28"/>
                <w:szCs w:val="28"/>
              </w:rPr>
              <w:t>取消</w:t>
            </w:r>
          </w:p>
        </w:tc>
        <w:tc>
          <w:tcPr>
            <w:tcW w:w="1053" w:type="dxa"/>
            <w:tcBorders>
              <w:top w:val="single" w:color="000000" w:sz="2" w:space="0"/>
              <w:left w:val="single" w:color="000000" w:sz="2" w:space="0"/>
              <w:bottom w:val="single" w:color="auto" w:sz="4"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黑体" w:hAnsi="黑体" w:eastAsia="黑体" w:cs="黑体"/>
                <w:sz w:val="28"/>
                <w:szCs w:val="28"/>
              </w:rPr>
            </w:pPr>
            <w:r>
              <w:rPr>
                <w:rFonts w:hint="eastAsia" w:ascii="黑体" w:hAnsi="黑体" w:eastAsia="黑体" w:cs="黑体"/>
                <w:sz w:val="28"/>
                <w:szCs w:val="28"/>
              </w:rPr>
              <w:t>保留</w:t>
            </w:r>
          </w:p>
        </w:tc>
        <w:tc>
          <w:tcPr>
            <w:tcW w:w="2174" w:type="dxa"/>
            <w:vMerge w:val="continue"/>
            <w:tcBorders>
              <w:left w:val="single" w:color="000000" w:sz="2" w:space="0"/>
              <w:bottom w:val="single" w:color="auto" w:sz="4" w:space="0"/>
              <w:right w:val="single" w:color="000000" w:sz="2" w:space="0"/>
            </w:tcBorders>
          </w:tcPr>
          <w:p>
            <w:pPr>
              <w:pStyle w:val="3"/>
              <w:widowControl/>
              <w:spacing w:before="0" w:beforeAutospacing="0" w:after="0" w:afterAutospacing="0" w:line="360" w:lineRule="exact"/>
              <w:jc w:val="both"/>
              <w:rPr>
                <w:rFonts w:ascii="黑体" w:hAnsi="黑体" w:eastAsia="黑体" w:cs="黑体"/>
                <w:sz w:val="28"/>
                <w:szCs w:val="28"/>
              </w:rPr>
            </w:pPr>
          </w:p>
        </w:tc>
      </w:tr>
      <w:tr>
        <w:tblPrEx>
          <w:tblCellMar>
            <w:top w:w="15" w:type="dxa"/>
            <w:left w:w="15" w:type="dxa"/>
            <w:bottom w:w="15" w:type="dxa"/>
            <w:right w:w="15" w:type="dxa"/>
          </w:tblCellMar>
        </w:tblPrEx>
        <w:trPr>
          <w:trHeight w:val="552" w:hRule="atLeast"/>
        </w:trPr>
        <w:tc>
          <w:tcPr>
            <w:tcW w:w="16134" w:type="dxa"/>
            <w:gridSpan w:val="8"/>
            <w:tcBorders>
              <w:top w:val="single" w:color="000000" w:sz="2" w:space="0"/>
              <w:left w:val="single" w:color="000000" w:sz="2" w:space="0"/>
              <w:bottom w:val="single" w:color="auto" w:sz="4"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区交通运输局</w:t>
            </w:r>
          </w:p>
        </w:tc>
      </w:tr>
      <w:tr>
        <w:tblPrEx>
          <w:tblCellMar>
            <w:top w:w="15" w:type="dxa"/>
            <w:left w:w="15" w:type="dxa"/>
            <w:bottom w:w="15" w:type="dxa"/>
            <w:right w:w="15" w:type="dxa"/>
          </w:tblCellMar>
        </w:tblPrEx>
        <w:trPr>
          <w:trHeight w:val="2734" w:hRule="atLeast"/>
        </w:trPr>
        <w:tc>
          <w:tcPr>
            <w:tcW w:w="528"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widowControl/>
              <w:spacing w:line="360" w:lineRule="exact"/>
              <w:jc w:val="center"/>
              <w:rPr>
                <w:rFonts w:ascii="仿宋" w:hAnsi="仿宋" w:eastAsia="仿宋" w:cs="仿宋"/>
                <w:sz w:val="28"/>
                <w:szCs w:val="28"/>
              </w:rPr>
            </w:pPr>
          </w:p>
        </w:tc>
        <w:tc>
          <w:tcPr>
            <w:tcW w:w="1913" w:type="dxa"/>
            <w:tcBorders>
              <w:top w:val="single" w:color="auto" w:sz="4" w:space="0"/>
              <w:left w:val="single" w:color="000000" w:sz="2" w:space="0"/>
              <w:bottom w:val="single" w:color="auto" w:sz="4" w:space="0"/>
              <w:right w:val="single" w:color="auto" w:sz="4" w:space="0"/>
            </w:tcBorders>
            <w:tcMar>
              <w:top w:w="0" w:type="dxa"/>
              <w:left w:w="0" w:type="dxa"/>
              <w:bottom w:w="0" w:type="dxa"/>
              <w:right w:w="0" w:type="dxa"/>
            </w:tcMar>
            <w:vAlign w:val="center"/>
          </w:tcPr>
          <w:p>
            <w:pPr>
              <w:widowControl/>
              <w:spacing w:line="360" w:lineRule="exact"/>
              <w:jc w:val="center"/>
              <w:rPr>
                <w:rFonts w:ascii="仿宋_GB2312" w:hAnsi="仿宋_GB2312" w:eastAsia="仿宋_GB2312"/>
                <w:sz w:val="28"/>
                <w:szCs w:val="28"/>
              </w:rPr>
            </w:pPr>
            <w:r>
              <w:rPr>
                <w:rFonts w:hint="eastAsia" w:ascii="仿宋_GB2312" w:hAnsi="仿宋_GB2312" w:eastAsia="仿宋_GB2312"/>
                <w:sz w:val="28"/>
                <w:szCs w:val="28"/>
              </w:rPr>
              <w:t>利用跨越公路（高速公路除外）的设施悬挂非公路标志审批</w:t>
            </w:r>
          </w:p>
        </w:tc>
        <w:tc>
          <w:tcPr>
            <w:tcW w:w="1416" w:type="dxa"/>
            <w:tcBorders>
              <w:top w:val="single" w:color="000000" w:sz="2" w:space="0"/>
              <w:left w:val="single" w:color="auto" w:sz="4" w:space="0"/>
              <w:bottom w:val="single" w:color="000000" w:sz="2" w:space="0"/>
              <w:right w:val="single" w:color="auto" w:sz="4" w:space="0"/>
            </w:tcBorders>
            <w:tcMar>
              <w:top w:w="0" w:type="dxa"/>
              <w:left w:w="0" w:type="dxa"/>
              <w:bottom w:w="0" w:type="dxa"/>
              <w:right w:w="0" w:type="dxa"/>
            </w:tcMar>
            <w:vAlign w:val="center"/>
          </w:tcPr>
          <w:p>
            <w:pPr>
              <w:widowControl/>
              <w:spacing w:line="360" w:lineRule="exact"/>
              <w:jc w:val="center"/>
              <w:rPr>
                <w:rFonts w:ascii="仿宋_GB2312" w:hAnsi="仿宋_GB2312" w:eastAsia="仿宋_GB2312"/>
                <w:sz w:val="28"/>
                <w:szCs w:val="28"/>
              </w:rPr>
            </w:pPr>
            <w:r>
              <w:rPr>
                <w:rFonts w:hint="eastAsia" w:ascii="仿宋_GB2312" w:hAnsi="仿宋_GB2312" w:eastAsia="仿宋_GB2312"/>
                <w:sz w:val="28"/>
                <w:szCs w:val="28"/>
              </w:rPr>
              <w:t>行政许可</w:t>
            </w:r>
          </w:p>
        </w:tc>
        <w:tc>
          <w:tcPr>
            <w:tcW w:w="2261" w:type="dxa"/>
            <w:tcBorders>
              <w:top w:val="single" w:color="000000" w:sz="2" w:space="0"/>
              <w:left w:val="single" w:color="auto" w:sz="4" w:space="0"/>
              <w:bottom w:val="single" w:color="000000" w:sz="2" w:space="0"/>
              <w:right w:val="single" w:color="000000" w:sz="2" w:space="0"/>
            </w:tcBorders>
            <w:tcMar>
              <w:top w:w="0" w:type="dxa"/>
              <w:left w:w="0" w:type="dxa"/>
              <w:bottom w:w="0" w:type="dxa"/>
              <w:right w:w="0" w:type="dxa"/>
            </w:tcMar>
            <w:vAlign w:val="center"/>
          </w:tcPr>
          <w:p>
            <w:pPr>
              <w:widowControl/>
              <w:spacing w:line="360" w:lineRule="exact"/>
              <w:rPr>
                <w:rFonts w:ascii="仿宋_GB2312" w:hAnsi="仿宋_GB2312" w:eastAsia="仿宋_GB2312"/>
                <w:sz w:val="28"/>
                <w:szCs w:val="28"/>
              </w:rPr>
            </w:pPr>
            <w:r>
              <w:rPr>
                <w:rFonts w:hint="eastAsia" w:ascii="仿宋_GB2312" w:hAnsi="仿宋_GB2312" w:eastAsia="仿宋_GB2312"/>
                <w:sz w:val="28"/>
                <w:szCs w:val="28"/>
              </w:rPr>
              <w:t>行政许可申请书，技术评价报告</w:t>
            </w:r>
          </w:p>
        </w:tc>
        <w:tc>
          <w:tcPr>
            <w:tcW w:w="5736"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widowControl/>
              <w:spacing w:line="360" w:lineRule="exact"/>
              <w:rPr>
                <w:rFonts w:ascii="仿宋_GB2312" w:hAnsi="仿宋_GB2312" w:eastAsia="仿宋_GB2312"/>
                <w:sz w:val="28"/>
                <w:szCs w:val="28"/>
              </w:rPr>
            </w:pPr>
            <w:r>
              <w:rPr>
                <w:rFonts w:hint="eastAsia" w:ascii="仿宋_GB2312" w:hAnsi="仿宋_GB2312" w:eastAsia="仿宋_GB2312"/>
                <w:sz w:val="28"/>
                <w:szCs w:val="28"/>
              </w:rPr>
              <w:t>《中华人民共和国行政许可法》第二十九条</w:t>
            </w:r>
            <w:r>
              <w:rPr>
                <w:rFonts w:ascii="仿宋_GB2312" w:hAnsi="仿宋_GB2312" w:eastAsia="仿宋_GB2312"/>
                <w:sz w:val="28"/>
                <w:szCs w:val="28"/>
              </w:rPr>
              <w:t xml:space="preserve"> </w:t>
            </w:r>
            <w:r>
              <w:rPr>
                <w:rFonts w:hint="eastAsia" w:ascii="仿宋_GB2312" w:hAnsi="仿宋_GB2312" w:eastAsia="仿宋_GB2312"/>
                <w:sz w:val="28"/>
                <w:szCs w:val="28"/>
              </w:rPr>
              <w:t>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tc>
        <w:tc>
          <w:tcPr>
            <w:tcW w:w="105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仿宋" w:hAnsi="仿宋" w:eastAsia="仿宋" w:cs="仿宋"/>
                <w:sz w:val="28"/>
                <w:szCs w:val="28"/>
              </w:rPr>
            </w:pPr>
          </w:p>
        </w:tc>
        <w:tc>
          <w:tcPr>
            <w:tcW w:w="1053" w:type="dxa"/>
            <w:tcBorders>
              <w:top w:val="single" w:color="auto" w:sz="4" w:space="0"/>
              <w:left w:val="single" w:color="000000" w:sz="2" w:space="0"/>
              <w:bottom w:val="single" w:color="auto" w:sz="4"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仿宋" w:hAnsi="仿宋" w:eastAsia="仿宋" w:cs="仿宋"/>
                <w:sz w:val="28"/>
                <w:szCs w:val="28"/>
              </w:rPr>
            </w:pPr>
            <w:r>
              <w:rPr>
                <w:rFonts w:hint="eastAsia" w:ascii="仿宋" w:hAnsi="仿宋" w:eastAsia="仿宋" w:cs="仿宋"/>
                <w:sz w:val="28"/>
                <w:szCs w:val="28"/>
                <w:lang w:eastAsia="zh-CN"/>
              </w:rPr>
              <w:t>保留</w:t>
            </w:r>
          </w:p>
        </w:tc>
        <w:tc>
          <w:tcPr>
            <w:tcW w:w="2174" w:type="dxa"/>
            <w:tcBorders>
              <w:top w:val="single" w:color="auto" w:sz="4" w:space="0"/>
              <w:left w:val="single" w:color="000000" w:sz="2" w:space="0"/>
              <w:bottom w:val="single" w:color="auto" w:sz="4" w:space="0"/>
              <w:right w:val="single" w:color="000000" w:sz="2" w:space="0"/>
            </w:tcBorders>
            <w:vAlign w:val="center"/>
          </w:tcPr>
          <w:p>
            <w:pPr>
              <w:pStyle w:val="3"/>
              <w:widowControl/>
              <w:spacing w:before="0" w:beforeAutospacing="0" w:after="0" w:afterAutospacing="0" w:line="36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否</w:t>
            </w:r>
          </w:p>
        </w:tc>
      </w:tr>
      <w:tr>
        <w:tblPrEx>
          <w:tblCellMar>
            <w:top w:w="15" w:type="dxa"/>
            <w:left w:w="15" w:type="dxa"/>
            <w:bottom w:w="15" w:type="dxa"/>
            <w:right w:w="15" w:type="dxa"/>
          </w:tblCellMar>
        </w:tblPrEx>
        <w:trPr>
          <w:trHeight w:val="552" w:hRule="atLeast"/>
        </w:trPr>
        <w:tc>
          <w:tcPr>
            <w:tcW w:w="528"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widowControl/>
              <w:spacing w:line="360" w:lineRule="exact"/>
              <w:jc w:val="center"/>
              <w:rPr>
                <w:rFonts w:ascii="仿宋" w:hAnsi="仿宋" w:eastAsia="仿宋" w:cs="仿宋"/>
                <w:sz w:val="28"/>
                <w:szCs w:val="28"/>
              </w:rPr>
            </w:pPr>
          </w:p>
        </w:tc>
        <w:tc>
          <w:tcPr>
            <w:tcW w:w="1913" w:type="dxa"/>
            <w:tcBorders>
              <w:top w:val="single" w:color="auto" w:sz="4" w:space="0"/>
              <w:left w:val="single" w:color="000000" w:sz="2" w:space="0"/>
              <w:bottom w:val="single" w:color="auto" w:sz="4" w:space="0"/>
              <w:right w:val="single" w:color="auto" w:sz="4" w:space="0"/>
            </w:tcBorders>
            <w:tcMar>
              <w:top w:w="0" w:type="dxa"/>
              <w:left w:w="0" w:type="dxa"/>
              <w:bottom w:w="0" w:type="dxa"/>
              <w:right w:w="0" w:type="dxa"/>
            </w:tcMar>
            <w:vAlign w:val="center"/>
          </w:tcPr>
          <w:p>
            <w:pPr>
              <w:widowControl/>
              <w:spacing w:line="360" w:lineRule="exact"/>
              <w:jc w:val="center"/>
              <w:rPr>
                <w:rFonts w:ascii="仿宋_GB2312" w:hAnsi="仿宋_GB2312" w:eastAsia="仿宋_GB2312"/>
                <w:sz w:val="28"/>
                <w:szCs w:val="28"/>
              </w:rPr>
            </w:pPr>
            <w:r>
              <w:rPr>
                <w:rFonts w:hint="eastAsia" w:ascii="仿宋_GB2312" w:hAnsi="仿宋_GB2312" w:eastAsia="仿宋_GB2312"/>
                <w:sz w:val="28"/>
                <w:szCs w:val="28"/>
              </w:rPr>
              <w:t>在公路（高速公路除外）控制区内埋设管线、电缆等设施审批</w:t>
            </w:r>
          </w:p>
        </w:tc>
        <w:tc>
          <w:tcPr>
            <w:tcW w:w="1416" w:type="dxa"/>
            <w:tcBorders>
              <w:top w:val="single" w:color="000000" w:sz="2" w:space="0"/>
              <w:left w:val="single" w:color="auto" w:sz="4" w:space="0"/>
              <w:bottom w:val="single" w:color="000000" w:sz="2" w:space="0"/>
              <w:right w:val="single" w:color="auto" w:sz="4" w:space="0"/>
            </w:tcBorders>
            <w:tcMar>
              <w:top w:w="0" w:type="dxa"/>
              <w:left w:w="0" w:type="dxa"/>
              <w:bottom w:w="0" w:type="dxa"/>
              <w:right w:w="0" w:type="dxa"/>
            </w:tcMar>
            <w:vAlign w:val="center"/>
          </w:tcPr>
          <w:p>
            <w:pPr>
              <w:widowControl/>
              <w:spacing w:line="360" w:lineRule="exact"/>
              <w:ind w:firstLine="280" w:firstLineChars="100"/>
              <w:jc w:val="center"/>
              <w:rPr>
                <w:rFonts w:ascii="仿宋_GB2312" w:hAnsi="仿宋_GB2312" w:eastAsia="仿宋_GB2312"/>
                <w:sz w:val="28"/>
                <w:szCs w:val="28"/>
              </w:rPr>
            </w:pPr>
            <w:r>
              <w:rPr>
                <w:rFonts w:hint="eastAsia" w:ascii="仿宋_GB2312" w:hAnsi="仿宋_GB2312" w:eastAsia="仿宋_GB2312"/>
                <w:sz w:val="28"/>
                <w:szCs w:val="28"/>
              </w:rPr>
              <w:t>行政许可</w:t>
            </w:r>
          </w:p>
        </w:tc>
        <w:tc>
          <w:tcPr>
            <w:tcW w:w="2261" w:type="dxa"/>
            <w:tcBorders>
              <w:top w:val="single" w:color="000000" w:sz="2" w:space="0"/>
              <w:left w:val="single" w:color="auto" w:sz="4" w:space="0"/>
              <w:bottom w:val="single" w:color="000000" w:sz="2" w:space="0"/>
              <w:right w:val="single" w:color="000000" w:sz="2" w:space="0"/>
            </w:tcBorders>
            <w:tcMar>
              <w:top w:w="0" w:type="dxa"/>
              <w:left w:w="0" w:type="dxa"/>
              <w:bottom w:w="0" w:type="dxa"/>
              <w:right w:w="0" w:type="dxa"/>
            </w:tcMar>
            <w:vAlign w:val="center"/>
          </w:tcPr>
          <w:p>
            <w:pPr>
              <w:widowControl/>
              <w:spacing w:line="360" w:lineRule="exact"/>
              <w:rPr>
                <w:rFonts w:ascii="仿宋_GB2312" w:hAnsi="仿宋_GB2312" w:eastAsia="仿宋_GB2312"/>
                <w:sz w:val="28"/>
                <w:szCs w:val="28"/>
              </w:rPr>
            </w:pPr>
            <w:r>
              <w:rPr>
                <w:rFonts w:hint="eastAsia" w:ascii="仿宋_GB2312" w:hAnsi="仿宋_GB2312" w:eastAsia="仿宋_GB2312"/>
                <w:sz w:val="28"/>
                <w:szCs w:val="28"/>
              </w:rPr>
              <w:t>行政许可申请书，技术评价报告</w:t>
            </w:r>
          </w:p>
        </w:tc>
        <w:tc>
          <w:tcPr>
            <w:tcW w:w="5736"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widowControl/>
              <w:spacing w:line="360" w:lineRule="exact"/>
              <w:rPr>
                <w:rFonts w:ascii="仿宋_GB2312" w:hAnsi="仿宋_GB2312" w:eastAsia="仿宋_GB2312"/>
                <w:sz w:val="28"/>
                <w:szCs w:val="28"/>
              </w:rPr>
            </w:pPr>
            <w:r>
              <w:rPr>
                <w:rFonts w:hint="eastAsia" w:ascii="仿宋_GB2312" w:hAnsi="仿宋_GB2312" w:eastAsia="仿宋_GB2312"/>
                <w:sz w:val="28"/>
                <w:szCs w:val="28"/>
              </w:rPr>
              <w:t>《中华人民共和国行政许可法》第二十九条</w:t>
            </w:r>
            <w:r>
              <w:rPr>
                <w:rFonts w:ascii="仿宋_GB2312" w:hAnsi="仿宋_GB2312" w:eastAsia="仿宋_GB2312"/>
                <w:sz w:val="28"/>
                <w:szCs w:val="28"/>
              </w:rPr>
              <w:t xml:space="preserve"> </w:t>
            </w:r>
            <w:r>
              <w:rPr>
                <w:rFonts w:hint="eastAsia" w:ascii="仿宋_GB2312" w:hAnsi="仿宋_GB2312" w:eastAsia="仿宋_GB2312"/>
                <w:sz w:val="28"/>
                <w:szCs w:val="28"/>
              </w:rPr>
              <w:t>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tc>
        <w:tc>
          <w:tcPr>
            <w:tcW w:w="105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仿宋" w:hAnsi="仿宋" w:eastAsia="仿宋" w:cs="仿宋"/>
                <w:sz w:val="28"/>
                <w:szCs w:val="28"/>
              </w:rPr>
            </w:pPr>
          </w:p>
        </w:tc>
        <w:tc>
          <w:tcPr>
            <w:tcW w:w="1053" w:type="dxa"/>
            <w:tcBorders>
              <w:top w:val="single" w:color="auto" w:sz="4" w:space="0"/>
              <w:left w:val="single" w:color="000000" w:sz="2" w:space="0"/>
              <w:bottom w:val="single" w:color="auto" w:sz="4"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仿宋" w:hAnsi="仿宋" w:eastAsia="仿宋" w:cs="仿宋"/>
                <w:sz w:val="28"/>
                <w:szCs w:val="28"/>
              </w:rPr>
            </w:pPr>
            <w:r>
              <w:rPr>
                <w:rFonts w:hint="eastAsia" w:ascii="仿宋" w:hAnsi="仿宋" w:eastAsia="仿宋" w:cs="仿宋"/>
                <w:sz w:val="28"/>
                <w:szCs w:val="28"/>
                <w:lang w:eastAsia="zh-CN"/>
              </w:rPr>
              <w:t>保留</w:t>
            </w:r>
          </w:p>
        </w:tc>
        <w:tc>
          <w:tcPr>
            <w:tcW w:w="2174" w:type="dxa"/>
            <w:tcBorders>
              <w:top w:val="single" w:color="auto" w:sz="4" w:space="0"/>
              <w:left w:val="single" w:color="000000" w:sz="2" w:space="0"/>
              <w:bottom w:val="single" w:color="auto" w:sz="4" w:space="0"/>
              <w:right w:val="single" w:color="000000" w:sz="2" w:space="0"/>
            </w:tcBorders>
            <w:vAlign w:val="center"/>
          </w:tcPr>
          <w:p>
            <w:pPr>
              <w:pStyle w:val="3"/>
              <w:widowControl/>
              <w:spacing w:before="0" w:beforeAutospacing="0" w:after="0" w:afterAutospacing="0" w:line="360" w:lineRule="exact"/>
              <w:jc w:val="center"/>
              <w:rPr>
                <w:rFonts w:ascii="仿宋" w:hAnsi="仿宋" w:eastAsia="仿宋" w:cs="仿宋"/>
                <w:sz w:val="28"/>
                <w:szCs w:val="28"/>
              </w:rPr>
            </w:pPr>
            <w:r>
              <w:rPr>
                <w:rFonts w:hint="eastAsia" w:ascii="仿宋" w:hAnsi="仿宋" w:eastAsia="仿宋" w:cs="仿宋"/>
                <w:sz w:val="28"/>
                <w:szCs w:val="28"/>
                <w:lang w:val="en-US" w:eastAsia="zh-CN"/>
              </w:rPr>
              <w:t>否</w:t>
            </w:r>
          </w:p>
        </w:tc>
      </w:tr>
      <w:tr>
        <w:tblPrEx>
          <w:tblCellMar>
            <w:top w:w="15" w:type="dxa"/>
            <w:left w:w="15" w:type="dxa"/>
            <w:bottom w:w="15" w:type="dxa"/>
            <w:right w:w="15" w:type="dxa"/>
          </w:tblCellMar>
        </w:tblPrEx>
        <w:trPr>
          <w:trHeight w:val="552" w:hRule="atLeast"/>
        </w:trPr>
        <w:tc>
          <w:tcPr>
            <w:tcW w:w="528"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widowControl/>
              <w:spacing w:line="360" w:lineRule="exact"/>
              <w:jc w:val="center"/>
              <w:rPr>
                <w:rFonts w:ascii="仿宋" w:hAnsi="仿宋" w:eastAsia="仿宋" w:cs="仿宋"/>
                <w:sz w:val="28"/>
                <w:szCs w:val="28"/>
              </w:rPr>
            </w:pPr>
          </w:p>
        </w:tc>
        <w:tc>
          <w:tcPr>
            <w:tcW w:w="1913" w:type="dxa"/>
            <w:tcBorders>
              <w:top w:val="single" w:color="auto" w:sz="4" w:space="0"/>
              <w:left w:val="single" w:color="000000" w:sz="2" w:space="0"/>
              <w:bottom w:val="single" w:color="auto" w:sz="4" w:space="0"/>
              <w:right w:val="single" w:color="auto" w:sz="4" w:space="0"/>
            </w:tcBorders>
            <w:tcMar>
              <w:top w:w="0" w:type="dxa"/>
              <w:left w:w="0" w:type="dxa"/>
              <w:bottom w:w="0" w:type="dxa"/>
              <w:right w:w="0" w:type="dxa"/>
            </w:tcMar>
            <w:vAlign w:val="center"/>
          </w:tcPr>
          <w:p>
            <w:pPr>
              <w:widowControl/>
              <w:spacing w:line="360" w:lineRule="exact"/>
              <w:jc w:val="center"/>
              <w:rPr>
                <w:rFonts w:ascii="仿宋_GB2312" w:hAnsi="仿宋_GB2312" w:eastAsia="仿宋_GB2312"/>
                <w:sz w:val="28"/>
                <w:szCs w:val="28"/>
              </w:rPr>
            </w:pPr>
            <w:r>
              <w:rPr>
                <w:rFonts w:hint="eastAsia" w:ascii="仿宋_GB2312" w:hAnsi="仿宋_GB2312" w:eastAsia="仿宋_GB2312"/>
                <w:sz w:val="28"/>
                <w:szCs w:val="28"/>
              </w:rPr>
              <w:t>县级权限范围内其他农村公路工程项目的施工许可</w:t>
            </w:r>
          </w:p>
        </w:tc>
        <w:tc>
          <w:tcPr>
            <w:tcW w:w="1416" w:type="dxa"/>
            <w:tcBorders>
              <w:top w:val="single" w:color="000000" w:sz="2" w:space="0"/>
              <w:left w:val="single" w:color="auto" w:sz="4" w:space="0"/>
              <w:bottom w:val="single" w:color="000000" w:sz="2" w:space="0"/>
              <w:right w:val="single" w:color="auto" w:sz="4" w:space="0"/>
            </w:tcBorders>
            <w:tcMar>
              <w:top w:w="0" w:type="dxa"/>
              <w:left w:w="0" w:type="dxa"/>
              <w:bottom w:w="0" w:type="dxa"/>
              <w:right w:w="0" w:type="dxa"/>
            </w:tcMar>
            <w:vAlign w:val="center"/>
          </w:tcPr>
          <w:p>
            <w:pPr>
              <w:widowControl/>
              <w:spacing w:line="360" w:lineRule="exact"/>
              <w:ind w:firstLine="280" w:firstLineChars="100"/>
              <w:jc w:val="center"/>
              <w:rPr>
                <w:rFonts w:ascii="仿宋_GB2312" w:hAnsi="仿宋_GB2312" w:eastAsia="仿宋_GB2312"/>
                <w:sz w:val="28"/>
                <w:szCs w:val="28"/>
              </w:rPr>
            </w:pPr>
            <w:r>
              <w:rPr>
                <w:rFonts w:hint="eastAsia" w:ascii="仿宋_GB2312" w:hAnsi="仿宋_GB2312" w:eastAsia="仿宋_GB2312"/>
                <w:sz w:val="28"/>
                <w:szCs w:val="28"/>
              </w:rPr>
              <w:t>行政许可</w:t>
            </w:r>
          </w:p>
        </w:tc>
        <w:tc>
          <w:tcPr>
            <w:tcW w:w="2261" w:type="dxa"/>
            <w:tcBorders>
              <w:top w:val="single" w:color="000000" w:sz="2" w:space="0"/>
              <w:left w:val="single" w:color="auto" w:sz="4" w:space="0"/>
              <w:bottom w:val="single" w:color="000000" w:sz="2" w:space="0"/>
              <w:right w:val="single" w:color="000000" w:sz="2" w:space="0"/>
            </w:tcBorders>
            <w:tcMar>
              <w:top w:w="0" w:type="dxa"/>
              <w:left w:w="0" w:type="dxa"/>
              <w:bottom w:w="0" w:type="dxa"/>
              <w:right w:w="0" w:type="dxa"/>
            </w:tcMar>
            <w:vAlign w:val="center"/>
          </w:tcPr>
          <w:p>
            <w:pPr>
              <w:widowControl/>
              <w:spacing w:line="360" w:lineRule="exact"/>
              <w:rPr>
                <w:rFonts w:ascii="仿宋_GB2312" w:hAnsi="仿宋_GB2312" w:eastAsia="仿宋_GB2312"/>
                <w:sz w:val="28"/>
                <w:szCs w:val="28"/>
              </w:rPr>
            </w:pPr>
            <w:r>
              <w:rPr>
                <w:rFonts w:hint="eastAsia" w:ascii="仿宋_GB2312" w:hAnsi="仿宋_GB2312" w:eastAsia="仿宋_GB2312"/>
                <w:sz w:val="28"/>
                <w:szCs w:val="28"/>
              </w:rPr>
              <w:t>其他，书面申请书施工图设计图文件批复</w:t>
            </w:r>
          </w:p>
        </w:tc>
        <w:tc>
          <w:tcPr>
            <w:tcW w:w="5736"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widowControl/>
              <w:spacing w:line="360" w:lineRule="exact"/>
              <w:jc w:val="center"/>
              <w:rPr>
                <w:rFonts w:ascii="仿宋_GB2312" w:hAnsi="仿宋_GB2312" w:eastAsia="仿宋_GB2312"/>
                <w:sz w:val="28"/>
                <w:szCs w:val="28"/>
              </w:rPr>
            </w:pPr>
            <w:r>
              <w:rPr>
                <w:rFonts w:hint="eastAsia" w:ascii="仿宋_GB2312" w:hAnsi="仿宋_GB2312" w:eastAsia="仿宋_GB2312"/>
                <w:sz w:val="28"/>
                <w:szCs w:val="28"/>
              </w:rPr>
              <w:t>中华人民共和国公路许可法</w:t>
            </w:r>
          </w:p>
        </w:tc>
        <w:tc>
          <w:tcPr>
            <w:tcW w:w="105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仿宋" w:hAnsi="仿宋" w:eastAsia="仿宋" w:cs="仿宋"/>
                <w:sz w:val="28"/>
                <w:szCs w:val="28"/>
              </w:rPr>
            </w:pPr>
          </w:p>
        </w:tc>
        <w:tc>
          <w:tcPr>
            <w:tcW w:w="1053" w:type="dxa"/>
            <w:tcBorders>
              <w:top w:val="single" w:color="auto" w:sz="4" w:space="0"/>
              <w:left w:val="single" w:color="000000" w:sz="2" w:space="0"/>
              <w:bottom w:val="single" w:color="auto" w:sz="4"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仿宋" w:hAnsi="仿宋" w:eastAsia="仿宋" w:cs="仿宋"/>
                <w:sz w:val="28"/>
                <w:szCs w:val="28"/>
              </w:rPr>
            </w:pPr>
            <w:r>
              <w:rPr>
                <w:rFonts w:hint="eastAsia" w:ascii="仿宋" w:hAnsi="仿宋" w:eastAsia="仿宋" w:cs="仿宋"/>
                <w:sz w:val="28"/>
                <w:szCs w:val="28"/>
                <w:lang w:eastAsia="zh-CN"/>
              </w:rPr>
              <w:t>保留</w:t>
            </w:r>
          </w:p>
        </w:tc>
        <w:tc>
          <w:tcPr>
            <w:tcW w:w="2174" w:type="dxa"/>
            <w:tcBorders>
              <w:top w:val="single" w:color="auto" w:sz="4" w:space="0"/>
              <w:left w:val="single" w:color="000000" w:sz="2" w:space="0"/>
              <w:bottom w:val="single" w:color="auto" w:sz="4" w:space="0"/>
              <w:right w:val="single" w:color="000000" w:sz="2" w:space="0"/>
            </w:tcBorders>
            <w:vAlign w:val="center"/>
          </w:tcPr>
          <w:p>
            <w:pPr>
              <w:pStyle w:val="3"/>
              <w:widowControl/>
              <w:spacing w:before="0" w:beforeAutospacing="0" w:after="0" w:afterAutospacing="0" w:line="360" w:lineRule="exact"/>
              <w:jc w:val="center"/>
              <w:rPr>
                <w:rFonts w:ascii="仿宋" w:hAnsi="仿宋" w:eastAsia="仿宋" w:cs="仿宋"/>
                <w:sz w:val="28"/>
                <w:szCs w:val="28"/>
              </w:rPr>
            </w:pPr>
            <w:r>
              <w:rPr>
                <w:rFonts w:hint="eastAsia" w:ascii="仿宋" w:hAnsi="仿宋" w:eastAsia="仿宋" w:cs="仿宋"/>
                <w:sz w:val="28"/>
                <w:szCs w:val="28"/>
                <w:lang w:val="en-US" w:eastAsia="zh-CN"/>
              </w:rPr>
              <w:t>否</w:t>
            </w:r>
          </w:p>
        </w:tc>
      </w:tr>
      <w:tr>
        <w:tblPrEx>
          <w:tblCellMar>
            <w:top w:w="15" w:type="dxa"/>
            <w:left w:w="15" w:type="dxa"/>
            <w:bottom w:w="15" w:type="dxa"/>
            <w:right w:w="15" w:type="dxa"/>
          </w:tblCellMar>
        </w:tblPrEx>
        <w:trPr>
          <w:trHeight w:val="552" w:hRule="atLeast"/>
        </w:trPr>
        <w:tc>
          <w:tcPr>
            <w:tcW w:w="528"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widowControl/>
              <w:spacing w:line="360" w:lineRule="exact"/>
              <w:jc w:val="center"/>
              <w:rPr>
                <w:rFonts w:ascii="仿宋" w:hAnsi="仿宋" w:eastAsia="仿宋" w:cs="仿宋"/>
                <w:sz w:val="28"/>
                <w:szCs w:val="28"/>
              </w:rPr>
            </w:pPr>
          </w:p>
        </w:tc>
        <w:tc>
          <w:tcPr>
            <w:tcW w:w="1913" w:type="dxa"/>
            <w:tcBorders>
              <w:top w:val="single" w:color="auto" w:sz="4" w:space="0"/>
              <w:left w:val="single" w:color="000000" w:sz="2" w:space="0"/>
              <w:bottom w:val="single" w:color="auto" w:sz="4" w:space="0"/>
              <w:right w:val="single" w:color="auto" w:sz="4" w:space="0"/>
            </w:tcBorders>
            <w:tcMar>
              <w:top w:w="0" w:type="dxa"/>
              <w:left w:w="0" w:type="dxa"/>
              <w:bottom w:w="0" w:type="dxa"/>
              <w:right w:w="0" w:type="dxa"/>
            </w:tcMar>
            <w:vAlign w:val="center"/>
          </w:tcPr>
          <w:p>
            <w:pPr>
              <w:widowControl/>
              <w:spacing w:line="360" w:lineRule="exact"/>
              <w:jc w:val="center"/>
              <w:rPr>
                <w:rFonts w:ascii="仿宋_GB2312" w:hAnsi="仿宋_GB2312" w:eastAsia="仿宋_GB2312"/>
                <w:sz w:val="28"/>
                <w:szCs w:val="28"/>
              </w:rPr>
            </w:pPr>
            <w:r>
              <w:rPr>
                <w:rFonts w:hint="eastAsia" w:ascii="仿宋_GB2312" w:hAnsi="仿宋_GB2312" w:eastAsia="仿宋_GB2312"/>
                <w:sz w:val="28"/>
                <w:szCs w:val="28"/>
              </w:rPr>
              <w:t>县、乡公路和农村公路设计变更核准</w:t>
            </w:r>
          </w:p>
        </w:tc>
        <w:tc>
          <w:tcPr>
            <w:tcW w:w="1416" w:type="dxa"/>
            <w:tcBorders>
              <w:top w:val="single" w:color="000000" w:sz="2" w:space="0"/>
              <w:left w:val="single" w:color="auto" w:sz="4" w:space="0"/>
              <w:bottom w:val="single" w:color="000000" w:sz="2" w:space="0"/>
              <w:right w:val="single" w:color="auto" w:sz="4" w:space="0"/>
            </w:tcBorders>
            <w:tcMar>
              <w:top w:w="0" w:type="dxa"/>
              <w:left w:w="0" w:type="dxa"/>
              <w:bottom w:w="0" w:type="dxa"/>
              <w:right w:w="0" w:type="dxa"/>
            </w:tcMar>
            <w:vAlign w:val="center"/>
          </w:tcPr>
          <w:p>
            <w:pPr>
              <w:widowControl/>
              <w:spacing w:line="360" w:lineRule="exact"/>
              <w:ind w:firstLine="280" w:firstLineChars="100"/>
              <w:jc w:val="center"/>
              <w:rPr>
                <w:rFonts w:ascii="仿宋_GB2312" w:hAnsi="仿宋_GB2312" w:eastAsia="仿宋_GB2312"/>
                <w:sz w:val="28"/>
                <w:szCs w:val="28"/>
              </w:rPr>
            </w:pPr>
            <w:r>
              <w:rPr>
                <w:rFonts w:hint="eastAsia" w:ascii="仿宋_GB2312" w:hAnsi="仿宋_GB2312" w:eastAsia="仿宋_GB2312"/>
                <w:sz w:val="28"/>
                <w:szCs w:val="28"/>
              </w:rPr>
              <w:t>行政许可</w:t>
            </w:r>
          </w:p>
        </w:tc>
        <w:tc>
          <w:tcPr>
            <w:tcW w:w="2261" w:type="dxa"/>
            <w:tcBorders>
              <w:top w:val="single" w:color="000000" w:sz="2" w:space="0"/>
              <w:left w:val="single" w:color="auto" w:sz="4" w:space="0"/>
              <w:bottom w:val="single" w:color="000000" w:sz="2" w:space="0"/>
              <w:right w:val="single" w:color="000000" w:sz="2" w:space="0"/>
            </w:tcBorders>
            <w:tcMar>
              <w:top w:w="0" w:type="dxa"/>
              <w:left w:w="0" w:type="dxa"/>
              <w:bottom w:w="0" w:type="dxa"/>
              <w:right w:w="0" w:type="dxa"/>
            </w:tcMar>
            <w:vAlign w:val="center"/>
          </w:tcPr>
          <w:p>
            <w:pPr>
              <w:widowControl/>
              <w:spacing w:line="360" w:lineRule="exact"/>
              <w:rPr>
                <w:rFonts w:ascii="仿宋_GB2312" w:hAnsi="仿宋_GB2312" w:eastAsia="仿宋_GB2312"/>
                <w:sz w:val="28"/>
                <w:szCs w:val="28"/>
              </w:rPr>
            </w:pPr>
            <w:r>
              <w:rPr>
                <w:rFonts w:hint="eastAsia" w:ascii="仿宋_GB2312" w:hAnsi="仿宋_GB2312" w:eastAsia="仿宋_GB2312"/>
                <w:sz w:val="28"/>
                <w:szCs w:val="28"/>
              </w:rPr>
              <w:t>申请表，变更后的勘察设计图纸</w:t>
            </w:r>
          </w:p>
        </w:tc>
        <w:tc>
          <w:tcPr>
            <w:tcW w:w="5736"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ascii="仿宋_GB2312" w:hAnsi="仿宋_GB2312" w:eastAsia="仿宋_GB2312"/>
                <w:sz w:val="21"/>
                <w:szCs w:val="21"/>
              </w:rPr>
            </w:pPr>
            <w:r>
              <w:rPr>
                <w:rFonts w:hint="eastAsia" w:ascii="仿宋_GB2312" w:hAnsi="仿宋_GB2312" w:eastAsia="仿宋_GB2312"/>
                <w:sz w:val="21"/>
                <w:szCs w:val="21"/>
              </w:rPr>
              <w:t>《公路工程设计变更管理办法》（交通部令</w:t>
            </w:r>
            <w:r>
              <w:rPr>
                <w:rFonts w:ascii="仿宋_GB2312" w:hAnsi="仿宋_GB2312" w:eastAsia="仿宋_GB2312"/>
                <w:sz w:val="21"/>
                <w:szCs w:val="21"/>
              </w:rPr>
              <w:t>2005</w:t>
            </w:r>
            <w:r>
              <w:rPr>
                <w:rFonts w:hint="eastAsia" w:ascii="仿宋_GB2312" w:hAnsi="仿宋_GB2312" w:eastAsia="仿宋_GB2312"/>
                <w:sz w:val="21"/>
                <w:szCs w:val="21"/>
              </w:rPr>
              <w:t>第</w:t>
            </w:r>
            <w:r>
              <w:rPr>
                <w:rFonts w:ascii="仿宋_GB2312" w:hAnsi="仿宋_GB2312" w:eastAsia="仿宋_GB2312"/>
                <w:sz w:val="21"/>
                <w:szCs w:val="21"/>
              </w:rPr>
              <w:t>5</w:t>
            </w:r>
            <w:r>
              <w:rPr>
                <w:rFonts w:hint="eastAsia" w:ascii="仿宋_GB2312" w:hAnsi="仿宋_GB2312" w:eastAsia="仿宋_GB2312"/>
                <w:sz w:val="21"/>
                <w:szCs w:val="21"/>
              </w:rPr>
              <w:t>号）第十四条</w:t>
            </w:r>
            <w:r>
              <w:rPr>
                <w:rFonts w:ascii="仿宋_GB2312" w:hAnsi="仿宋_GB2312" w:eastAsia="仿宋_GB2312"/>
                <w:sz w:val="21"/>
                <w:szCs w:val="21"/>
              </w:rPr>
              <w:t xml:space="preserve"> </w:t>
            </w:r>
            <w:r>
              <w:rPr>
                <w:rFonts w:hint="eastAsia" w:ascii="仿宋_GB2312" w:hAnsi="仿宋_GB2312" w:eastAsia="仿宋_GB2312"/>
                <w:sz w:val="21"/>
                <w:szCs w:val="21"/>
              </w:rPr>
              <w:t>项目法人在报审设计变更文件时，应当提交以下材料：（一）设计变更说明；（二）设计变更的勘察设计图纸及原设计相应图纸；（三）工程量、投资变化对照清单和分项概、预算文件</w:t>
            </w:r>
          </w:p>
        </w:tc>
        <w:tc>
          <w:tcPr>
            <w:tcW w:w="105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仿宋" w:hAnsi="仿宋" w:eastAsia="仿宋" w:cs="仿宋"/>
                <w:sz w:val="28"/>
                <w:szCs w:val="28"/>
              </w:rPr>
            </w:pPr>
          </w:p>
        </w:tc>
        <w:tc>
          <w:tcPr>
            <w:tcW w:w="1053" w:type="dxa"/>
            <w:tcBorders>
              <w:top w:val="single" w:color="auto" w:sz="4" w:space="0"/>
              <w:left w:val="single" w:color="000000" w:sz="2" w:space="0"/>
              <w:bottom w:val="single" w:color="auto" w:sz="4"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仿宋" w:hAnsi="仿宋" w:eastAsia="仿宋" w:cs="仿宋"/>
                <w:sz w:val="28"/>
                <w:szCs w:val="28"/>
              </w:rPr>
            </w:pPr>
            <w:r>
              <w:rPr>
                <w:rFonts w:hint="eastAsia" w:ascii="仿宋" w:hAnsi="仿宋" w:eastAsia="仿宋" w:cs="仿宋"/>
                <w:sz w:val="28"/>
                <w:szCs w:val="28"/>
                <w:lang w:eastAsia="zh-CN"/>
              </w:rPr>
              <w:t>保留</w:t>
            </w:r>
          </w:p>
        </w:tc>
        <w:tc>
          <w:tcPr>
            <w:tcW w:w="2174" w:type="dxa"/>
            <w:tcBorders>
              <w:top w:val="single" w:color="auto" w:sz="4" w:space="0"/>
              <w:left w:val="single" w:color="000000" w:sz="2" w:space="0"/>
              <w:bottom w:val="single" w:color="auto" w:sz="4" w:space="0"/>
              <w:right w:val="single" w:color="000000" w:sz="2" w:space="0"/>
            </w:tcBorders>
            <w:vAlign w:val="center"/>
          </w:tcPr>
          <w:p>
            <w:pPr>
              <w:pStyle w:val="3"/>
              <w:widowControl/>
              <w:spacing w:before="0" w:beforeAutospacing="0" w:after="0" w:afterAutospacing="0" w:line="360" w:lineRule="exact"/>
              <w:jc w:val="center"/>
              <w:rPr>
                <w:rFonts w:ascii="仿宋" w:hAnsi="仿宋" w:eastAsia="仿宋" w:cs="仿宋"/>
                <w:sz w:val="28"/>
                <w:szCs w:val="28"/>
              </w:rPr>
            </w:pPr>
            <w:r>
              <w:rPr>
                <w:rFonts w:hint="eastAsia" w:ascii="仿宋" w:hAnsi="仿宋" w:eastAsia="仿宋" w:cs="仿宋"/>
                <w:sz w:val="28"/>
                <w:szCs w:val="28"/>
                <w:lang w:val="en-US" w:eastAsia="zh-CN"/>
              </w:rPr>
              <w:t>否</w:t>
            </w:r>
          </w:p>
        </w:tc>
      </w:tr>
      <w:tr>
        <w:tblPrEx>
          <w:tblCellMar>
            <w:top w:w="15" w:type="dxa"/>
            <w:left w:w="15" w:type="dxa"/>
            <w:bottom w:w="15" w:type="dxa"/>
            <w:right w:w="15" w:type="dxa"/>
          </w:tblCellMar>
        </w:tblPrEx>
        <w:trPr>
          <w:trHeight w:val="552" w:hRule="atLeast"/>
        </w:trPr>
        <w:tc>
          <w:tcPr>
            <w:tcW w:w="528"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widowControl/>
              <w:spacing w:line="360" w:lineRule="exact"/>
              <w:jc w:val="center"/>
              <w:rPr>
                <w:rFonts w:ascii="仿宋" w:hAnsi="仿宋" w:eastAsia="仿宋" w:cs="仿宋"/>
                <w:sz w:val="28"/>
                <w:szCs w:val="28"/>
              </w:rPr>
            </w:pPr>
          </w:p>
        </w:tc>
        <w:tc>
          <w:tcPr>
            <w:tcW w:w="1913" w:type="dxa"/>
            <w:tcBorders>
              <w:top w:val="single" w:color="auto" w:sz="4" w:space="0"/>
              <w:left w:val="single" w:color="000000" w:sz="2" w:space="0"/>
              <w:bottom w:val="single" w:color="auto" w:sz="4" w:space="0"/>
              <w:right w:val="single" w:color="auto" w:sz="4" w:space="0"/>
            </w:tcBorders>
            <w:tcMar>
              <w:top w:w="0" w:type="dxa"/>
              <w:left w:w="0" w:type="dxa"/>
              <w:bottom w:w="0" w:type="dxa"/>
              <w:right w:w="0" w:type="dxa"/>
            </w:tcMar>
            <w:vAlign w:val="center"/>
          </w:tcPr>
          <w:p>
            <w:pPr>
              <w:widowControl/>
              <w:spacing w:line="360" w:lineRule="exact"/>
              <w:jc w:val="center"/>
              <w:rPr>
                <w:rFonts w:ascii="仿宋_GB2312" w:hAnsi="仿宋_GB2312" w:eastAsia="仿宋_GB2312"/>
                <w:sz w:val="28"/>
                <w:szCs w:val="28"/>
              </w:rPr>
            </w:pPr>
            <w:r>
              <w:rPr>
                <w:rFonts w:hint="eastAsia" w:ascii="仿宋_GB2312" w:hAnsi="仿宋_GB2312" w:eastAsia="仿宋_GB2312"/>
                <w:sz w:val="28"/>
                <w:szCs w:val="28"/>
              </w:rPr>
              <w:t>县、乡公路和农村公路工程施工图设计核准</w:t>
            </w:r>
          </w:p>
        </w:tc>
        <w:tc>
          <w:tcPr>
            <w:tcW w:w="1416" w:type="dxa"/>
            <w:tcBorders>
              <w:top w:val="single" w:color="000000" w:sz="2" w:space="0"/>
              <w:left w:val="single" w:color="auto" w:sz="4" w:space="0"/>
              <w:bottom w:val="single" w:color="000000" w:sz="2" w:space="0"/>
              <w:right w:val="single" w:color="auto" w:sz="4" w:space="0"/>
            </w:tcBorders>
            <w:tcMar>
              <w:top w:w="0" w:type="dxa"/>
              <w:left w:w="0" w:type="dxa"/>
              <w:bottom w:w="0" w:type="dxa"/>
              <w:right w:w="0" w:type="dxa"/>
            </w:tcMar>
            <w:vAlign w:val="center"/>
          </w:tcPr>
          <w:p>
            <w:pPr>
              <w:widowControl/>
              <w:spacing w:line="360" w:lineRule="exact"/>
              <w:ind w:firstLine="280" w:firstLineChars="100"/>
              <w:jc w:val="center"/>
              <w:rPr>
                <w:rFonts w:ascii="仿宋_GB2312" w:hAnsi="仿宋_GB2312" w:eastAsia="仿宋_GB2312"/>
                <w:sz w:val="28"/>
                <w:szCs w:val="28"/>
              </w:rPr>
            </w:pPr>
            <w:r>
              <w:rPr>
                <w:rFonts w:hint="eastAsia" w:ascii="仿宋_GB2312" w:hAnsi="仿宋_GB2312" w:eastAsia="仿宋_GB2312"/>
                <w:sz w:val="28"/>
                <w:szCs w:val="28"/>
              </w:rPr>
              <w:t>行政许可</w:t>
            </w:r>
          </w:p>
        </w:tc>
        <w:tc>
          <w:tcPr>
            <w:tcW w:w="2261" w:type="dxa"/>
            <w:tcBorders>
              <w:top w:val="single" w:color="000000" w:sz="2" w:space="0"/>
              <w:left w:val="single" w:color="auto" w:sz="4" w:space="0"/>
              <w:bottom w:val="single" w:color="000000" w:sz="2" w:space="0"/>
              <w:right w:val="single" w:color="000000" w:sz="2" w:space="0"/>
            </w:tcBorders>
            <w:tcMar>
              <w:top w:w="0" w:type="dxa"/>
              <w:left w:w="0" w:type="dxa"/>
              <w:bottom w:w="0" w:type="dxa"/>
              <w:right w:w="0" w:type="dxa"/>
            </w:tcMar>
            <w:vAlign w:val="center"/>
          </w:tcPr>
          <w:p>
            <w:pPr>
              <w:widowControl/>
              <w:spacing w:line="360" w:lineRule="exact"/>
              <w:rPr>
                <w:rFonts w:ascii="仿宋_GB2312" w:hAnsi="仿宋_GB2312" w:eastAsia="仿宋_GB2312"/>
                <w:sz w:val="28"/>
                <w:szCs w:val="28"/>
              </w:rPr>
            </w:pPr>
            <w:r>
              <w:rPr>
                <w:rFonts w:hint="eastAsia" w:ascii="仿宋_GB2312" w:hAnsi="仿宋_GB2312" w:eastAsia="仿宋_GB2312"/>
                <w:sz w:val="28"/>
                <w:szCs w:val="28"/>
              </w:rPr>
              <w:t>施工图设计文件，委托专家或者审查单位的审查意见</w:t>
            </w:r>
          </w:p>
        </w:tc>
        <w:tc>
          <w:tcPr>
            <w:tcW w:w="5736"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ascii="仿宋_GB2312" w:hAnsi="仿宋_GB2312" w:eastAsia="仿宋_GB2312"/>
                <w:sz w:val="21"/>
                <w:szCs w:val="21"/>
              </w:rPr>
            </w:pPr>
            <w:r>
              <w:rPr>
                <w:rFonts w:hint="eastAsia" w:ascii="仿宋_GB2312" w:hAnsi="仿宋_GB2312" w:eastAsia="仿宋_GB2312"/>
                <w:sz w:val="21"/>
                <w:szCs w:val="21"/>
              </w:rPr>
              <w:t>《公路建设市场管理办法》（交通部令</w:t>
            </w:r>
            <w:r>
              <w:rPr>
                <w:rFonts w:ascii="仿宋_GB2312" w:hAnsi="仿宋_GB2312" w:eastAsia="仿宋_GB2312"/>
                <w:sz w:val="21"/>
                <w:szCs w:val="21"/>
              </w:rPr>
              <w:t>2004</w:t>
            </w:r>
            <w:r>
              <w:rPr>
                <w:rFonts w:hint="eastAsia" w:ascii="仿宋_GB2312" w:hAnsi="仿宋_GB2312" w:eastAsia="仿宋_GB2312"/>
                <w:sz w:val="21"/>
                <w:szCs w:val="21"/>
              </w:rPr>
              <w:t>第</w:t>
            </w:r>
            <w:r>
              <w:rPr>
                <w:rFonts w:ascii="仿宋_GB2312" w:hAnsi="仿宋_GB2312" w:eastAsia="仿宋_GB2312"/>
                <w:sz w:val="21"/>
                <w:szCs w:val="21"/>
              </w:rPr>
              <w:t>14</w:t>
            </w:r>
            <w:r>
              <w:rPr>
                <w:rFonts w:hint="eastAsia" w:ascii="仿宋_GB2312" w:hAnsi="仿宋_GB2312" w:eastAsia="仿宋_GB2312"/>
                <w:sz w:val="21"/>
                <w:szCs w:val="21"/>
              </w:rPr>
              <w:t>号）第十九条　申请施工图设计文件审批应当向相关的交通运输主管部门提交以下材料：（一）施工图设计的全套文件；（二）专家或者委托的审查单位对施工图设计文件的审查意见；（三）项目法人认为需要提交的其他说明材料</w:t>
            </w:r>
          </w:p>
        </w:tc>
        <w:tc>
          <w:tcPr>
            <w:tcW w:w="105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仿宋" w:hAnsi="仿宋" w:eastAsia="仿宋" w:cs="仿宋"/>
                <w:sz w:val="28"/>
                <w:szCs w:val="28"/>
              </w:rPr>
            </w:pPr>
          </w:p>
        </w:tc>
        <w:tc>
          <w:tcPr>
            <w:tcW w:w="1053" w:type="dxa"/>
            <w:tcBorders>
              <w:top w:val="single" w:color="auto" w:sz="4" w:space="0"/>
              <w:left w:val="single" w:color="000000" w:sz="2" w:space="0"/>
              <w:bottom w:val="single" w:color="auto" w:sz="4"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仿宋" w:hAnsi="仿宋" w:eastAsia="仿宋" w:cs="仿宋"/>
                <w:sz w:val="28"/>
                <w:szCs w:val="28"/>
              </w:rPr>
            </w:pPr>
            <w:r>
              <w:rPr>
                <w:rFonts w:hint="eastAsia" w:ascii="仿宋" w:hAnsi="仿宋" w:eastAsia="仿宋" w:cs="仿宋"/>
                <w:sz w:val="28"/>
                <w:szCs w:val="28"/>
                <w:lang w:eastAsia="zh-CN"/>
              </w:rPr>
              <w:t>保留</w:t>
            </w:r>
          </w:p>
        </w:tc>
        <w:tc>
          <w:tcPr>
            <w:tcW w:w="2174" w:type="dxa"/>
            <w:tcBorders>
              <w:top w:val="single" w:color="auto" w:sz="4" w:space="0"/>
              <w:left w:val="single" w:color="000000" w:sz="2" w:space="0"/>
              <w:bottom w:val="single" w:color="auto" w:sz="4" w:space="0"/>
              <w:right w:val="single" w:color="000000" w:sz="2" w:space="0"/>
            </w:tcBorders>
            <w:vAlign w:val="center"/>
          </w:tcPr>
          <w:p>
            <w:pPr>
              <w:pStyle w:val="3"/>
              <w:widowControl/>
              <w:spacing w:before="0" w:beforeAutospacing="0" w:after="0" w:afterAutospacing="0" w:line="360" w:lineRule="exact"/>
              <w:jc w:val="center"/>
              <w:rPr>
                <w:rFonts w:ascii="仿宋" w:hAnsi="仿宋" w:eastAsia="仿宋" w:cs="仿宋"/>
                <w:sz w:val="28"/>
                <w:szCs w:val="28"/>
              </w:rPr>
            </w:pPr>
            <w:r>
              <w:rPr>
                <w:rFonts w:hint="eastAsia" w:ascii="仿宋" w:hAnsi="仿宋" w:eastAsia="仿宋" w:cs="仿宋"/>
                <w:sz w:val="28"/>
                <w:szCs w:val="28"/>
                <w:lang w:val="en-US" w:eastAsia="zh-CN"/>
              </w:rPr>
              <w:t>否</w:t>
            </w:r>
          </w:p>
        </w:tc>
      </w:tr>
      <w:tr>
        <w:tblPrEx>
          <w:tblCellMar>
            <w:top w:w="15" w:type="dxa"/>
            <w:left w:w="15" w:type="dxa"/>
            <w:bottom w:w="15" w:type="dxa"/>
            <w:right w:w="15" w:type="dxa"/>
          </w:tblCellMar>
        </w:tblPrEx>
        <w:trPr>
          <w:trHeight w:val="552" w:hRule="atLeast"/>
        </w:trPr>
        <w:tc>
          <w:tcPr>
            <w:tcW w:w="528"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widowControl/>
              <w:spacing w:line="360" w:lineRule="exact"/>
              <w:jc w:val="center"/>
              <w:rPr>
                <w:rFonts w:ascii="仿宋" w:hAnsi="仿宋" w:eastAsia="仿宋" w:cs="仿宋"/>
                <w:sz w:val="28"/>
                <w:szCs w:val="28"/>
              </w:rPr>
            </w:pPr>
          </w:p>
        </w:tc>
        <w:tc>
          <w:tcPr>
            <w:tcW w:w="1913" w:type="dxa"/>
            <w:tcBorders>
              <w:top w:val="single" w:color="auto" w:sz="4" w:space="0"/>
              <w:left w:val="single" w:color="000000" w:sz="2" w:space="0"/>
              <w:bottom w:val="single" w:color="auto" w:sz="4" w:space="0"/>
              <w:right w:val="single" w:color="auto" w:sz="4" w:space="0"/>
            </w:tcBorders>
            <w:tcMar>
              <w:top w:w="0" w:type="dxa"/>
              <w:left w:w="0" w:type="dxa"/>
              <w:bottom w:w="0" w:type="dxa"/>
              <w:right w:w="0" w:type="dxa"/>
            </w:tcMar>
            <w:vAlign w:val="center"/>
          </w:tcPr>
          <w:p>
            <w:pPr>
              <w:widowControl/>
              <w:spacing w:line="360" w:lineRule="exact"/>
              <w:jc w:val="center"/>
              <w:rPr>
                <w:rFonts w:ascii="仿宋_GB2312" w:hAnsi="仿宋_GB2312" w:eastAsia="仿宋_GB2312"/>
                <w:sz w:val="28"/>
                <w:szCs w:val="28"/>
              </w:rPr>
            </w:pPr>
            <w:r>
              <w:rPr>
                <w:rFonts w:hint="eastAsia" w:ascii="仿宋_GB2312" w:hAnsi="仿宋_GB2312" w:eastAsia="仿宋_GB2312"/>
                <w:sz w:val="28"/>
                <w:szCs w:val="28"/>
              </w:rPr>
              <w:t>县、乡公路和农村公路工程初步设计核准</w:t>
            </w:r>
          </w:p>
        </w:tc>
        <w:tc>
          <w:tcPr>
            <w:tcW w:w="1416" w:type="dxa"/>
            <w:tcBorders>
              <w:top w:val="single" w:color="000000" w:sz="2" w:space="0"/>
              <w:left w:val="single" w:color="auto" w:sz="4" w:space="0"/>
              <w:bottom w:val="single" w:color="000000" w:sz="2" w:space="0"/>
              <w:right w:val="single" w:color="auto" w:sz="4" w:space="0"/>
            </w:tcBorders>
            <w:tcMar>
              <w:top w:w="0" w:type="dxa"/>
              <w:left w:w="0" w:type="dxa"/>
              <w:bottom w:w="0" w:type="dxa"/>
              <w:right w:w="0" w:type="dxa"/>
            </w:tcMar>
            <w:vAlign w:val="center"/>
          </w:tcPr>
          <w:p>
            <w:pPr>
              <w:widowControl/>
              <w:spacing w:line="360" w:lineRule="exact"/>
              <w:ind w:firstLine="280" w:firstLineChars="100"/>
              <w:jc w:val="center"/>
              <w:rPr>
                <w:rFonts w:ascii="仿宋_GB2312" w:hAnsi="仿宋_GB2312" w:eastAsia="仿宋_GB2312"/>
                <w:sz w:val="28"/>
                <w:szCs w:val="28"/>
              </w:rPr>
            </w:pPr>
            <w:r>
              <w:rPr>
                <w:rFonts w:hint="eastAsia" w:ascii="仿宋_GB2312" w:hAnsi="仿宋_GB2312" w:eastAsia="仿宋_GB2312"/>
                <w:sz w:val="28"/>
                <w:szCs w:val="28"/>
              </w:rPr>
              <w:t>行政许可</w:t>
            </w:r>
          </w:p>
        </w:tc>
        <w:tc>
          <w:tcPr>
            <w:tcW w:w="2261" w:type="dxa"/>
            <w:tcBorders>
              <w:top w:val="single" w:color="000000" w:sz="2" w:space="0"/>
              <w:left w:val="single" w:color="auto" w:sz="4" w:space="0"/>
              <w:bottom w:val="single" w:color="000000" w:sz="2" w:space="0"/>
              <w:right w:val="single" w:color="000000" w:sz="2" w:space="0"/>
            </w:tcBorders>
            <w:tcMar>
              <w:top w:w="0" w:type="dxa"/>
              <w:left w:w="0" w:type="dxa"/>
              <w:bottom w:w="0" w:type="dxa"/>
              <w:right w:w="0" w:type="dxa"/>
            </w:tcMar>
            <w:vAlign w:val="center"/>
          </w:tcPr>
          <w:p>
            <w:pPr>
              <w:widowControl/>
              <w:spacing w:line="360" w:lineRule="exact"/>
              <w:rPr>
                <w:rFonts w:ascii="仿宋_GB2312" w:hAnsi="仿宋_GB2312" w:eastAsia="仿宋_GB2312"/>
                <w:sz w:val="28"/>
                <w:szCs w:val="28"/>
              </w:rPr>
            </w:pPr>
            <w:r>
              <w:rPr>
                <w:rFonts w:hint="eastAsia" w:ascii="仿宋_GB2312" w:hAnsi="仿宋_GB2312" w:eastAsia="仿宋_GB2312"/>
                <w:sz w:val="28"/>
                <w:szCs w:val="28"/>
              </w:rPr>
              <w:t>工可批复，设计文件</w:t>
            </w:r>
          </w:p>
        </w:tc>
        <w:tc>
          <w:tcPr>
            <w:tcW w:w="5736"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ascii="仿宋_GB2312" w:hAnsi="仿宋_GB2312" w:eastAsia="仿宋_GB2312"/>
                <w:sz w:val="21"/>
                <w:szCs w:val="21"/>
              </w:rPr>
            </w:pPr>
            <w:r>
              <w:rPr>
                <w:rFonts w:hint="eastAsia" w:ascii="仿宋_GB2312" w:hAnsi="仿宋_GB2312" w:eastAsia="仿宋_GB2312"/>
                <w:sz w:val="21"/>
                <w:szCs w:val="21"/>
              </w:rPr>
              <w:t>《交通运输部关于印发加强重点公路建设项目设计管理工作若干意见的通知》　（交公路发〔</w:t>
            </w:r>
            <w:r>
              <w:rPr>
                <w:rFonts w:ascii="仿宋_GB2312" w:hAnsi="仿宋_GB2312" w:eastAsia="仿宋_GB2312"/>
                <w:sz w:val="21"/>
                <w:szCs w:val="21"/>
              </w:rPr>
              <w:t>2009</w:t>
            </w:r>
            <w:r>
              <w:rPr>
                <w:rFonts w:hint="eastAsia" w:ascii="仿宋_GB2312" w:hAnsi="仿宋_GB2312" w:eastAsia="仿宋_GB2312"/>
                <w:sz w:val="21"/>
                <w:szCs w:val="21"/>
              </w:rPr>
              <w:t>〕</w:t>
            </w:r>
            <w:r>
              <w:rPr>
                <w:rFonts w:ascii="仿宋_GB2312" w:hAnsi="仿宋_GB2312" w:eastAsia="仿宋_GB2312"/>
                <w:sz w:val="21"/>
                <w:szCs w:val="21"/>
              </w:rPr>
              <w:t>458</w:t>
            </w:r>
            <w:r>
              <w:rPr>
                <w:rFonts w:hint="eastAsia" w:ascii="仿宋_GB2312" w:hAnsi="仿宋_GB2312" w:eastAsia="仿宋_GB2312"/>
                <w:sz w:val="21"/>
                <w:szCs w:val="21"/>
              </w:rPr>
              <w:t>号）第四条</w:t>
            </w:r>
            <w:r>
              <w:rPr>
                <w:rFonts w:ascii="仿宋_GB2312" w:hAnsi="仿宋_GB2312" w:eastAsia="仿宋_GB2312"/>
                <w:sz w:val="21"/>
                <w:szCs w:val="21"/>
              </w:rPr>
              <w:t>:</w:t>
            </w:r>
            <w:r>
              <w:rPr>
                <w:rFonts w:hint="eastAsia" w:ascii="仿宋_GB2312" w:hAnsi="仿宋_GB2312" w:eastAsia="仿宋_GB2312"/>
                <w:sz w:val="21"/>
                <w:szCs w:val="21"/>
              </w:rPr>
              <w:t>（二）规范初步设计文件报送。</w:t>
            </w:r>
            <w:r>
              <w:rPr>
                <w:rFonts w:ascii="仿宋_GB2312" w:hAnsi="仿宋_GB2312" w:eastAsia="仿宋_GB2312"/>
                <w:sz w:val="21"/>
                <w:szCs w:val="21"/>
              </w:rPr>
              <w:br w:type="textWrapping"/>
            </w:r>
            <w:r>
              <w:rPr>
                <w:rFonts w:hint="eastAsia" w:ascii="仿宋_GB2312" w:hAnsi="仿宋_GB2312" w:eastAsia="仿宋_GB2312"/>
                <w:sz w:val="21"/>
                <w:szCs w:val="21"/>
              </w:rPr>
              <w:t>　　各省级交通运输主管部门要严格按以下要求向部和审查单位报送文件，确保完整齐全。</w:t>
            </w:r>
            <w:r>
              <w:rPr>
                <w:rFonts w:ascii="仿宋_GB2312" w:hAnsi="仿宋_GB2312" w:eastAsia="仿宋_GB2312"/>
                <w:sz w:val="21"/>
                <w:szCs w:val="21"/>
              </w:rPr>
              <w:br w:type="textWrapping"/>
            </w:r>
            <w:r>
              <w:rPr>
                <w:rFonts w:hint="eastAsia" w:ascii="仿宋_GB2312" w:hAnsi="仿宋_GB2312" w:eastAsia="仿宋_GB2312"/>
                <w:sz w:val="21"/>
                <w:szCs w:val="21"/>
              </w:rPr>
              <w:t>　　</w:t>
            </w:r>
            <w:r>
              <w:rPr>
                <w:rFonts w:ascii="仿宋_GB2312" w:hAnsi="仿宋_GB2312" w:eastAsia="仿宋_GB2312"/>
                <w:sz w:val="21"/>
                <w:szCs w:val="21"/>
              </w:rPr>
              <w:t>1.</w:t>
            </w:r>
            <w:r>
              <w:rPr>
                <w:rFonts w:hint="eastAsia" w:ascii="仿宋_GB2312" w:hAnsi="仿宋_GB2312" w:eastAsia="仿宋_GB2312"/>
                <w:sz w:val="21"/>
                <w:szCs w:val="21"/>
              </w:rPr>
              <w:t>上报部的文件有：申请初步设计文件审批的文件及预审报告</w:t>
            </w:r>
            <w:r>
              <w:rPr>
                <w:rFonts w:ascii="仿宋_GB2312" w:hAnsi="仿宋_GB2312" w:eastAsia="仿宋_GB2312"/>
                <w:sz w:val="21"/>
                <w:szCs w:val="21"/>
              </w:rPr>
              <w:t>1</w:t>
            </w:r>
            <w:r>
              <w:rPr>
                <w:rFonts w:hint="eastAsia" w:ascii="仿宋_GB2312" w:hAnsi="仿宋_GB2312" w:eastAsia="仿宋_GB2312"/>
                <w:sz w:val="21"/>
                <w:szCs w:val="21"/>
              </w:rPr>
              <w:t>份，</w:t>
            </w:r>
            <w:r>
              <w:rPr>
                <w:rFonts w:ascii="仿宋_GB2312" w:hAnsi="仿宋_GB2312" w:eastAsia="仿宋_GB2312"/>
                <w:sz w:val="21"/>
                <w:szCs w:val="21"/>
              </w:rPr>
              <w:t xml:space="preserve"> </w:t>
            </w:r>
            <w:r>
              <w:rPr>
                <w:rFonts w:hint="eastAsia" w:ascii="仿宋_GB2312" w:hAnsi="仿宋_GB2312" w:eastAsia="仿宋_GB2312"/>
                <w:sz w:val="21"/>
                <w:szCs w:val="21"/>
              </w:rPr>
              <w:t>可行性研究报告批复文件（复印件）</w:t>
            </w:r>
            <w:r>
              <w:rPr>
                <w:rFonts w:ascii="仿宋_GB2312" w:hAnsi="仿宋_GB2312" w:eastAsia="仿宋_GB2312"/>
                <w:sz w:val="21"/>
                <w:szCs w:val="21"/>
              </w:rPr>
              <w:t>1</w:t>
            </w:r>
            <w:r>
              <w:rPr>
                <w:rFonts w:hint="eastAsia" w:ascii="仿宋_GB2312" w:hAnsi="仿宋_GB2312" w:eastAsia="仿宋_GB2312"/>
                <w:sz w:val="21"/>
                <w:szCs w:val="21"/>
              </w:rPr>
              <w:t>份，公路建设项目初步设计文件第一册（总说明书）</w:t>
            </w:r>
            <w:r>
              <w:rPr>
                <w:rFonts w:ascii="仿宋_GB2312" w:hAnsi="仿宋_GB2312" w:eastAsia="仿宋_GB2312"/>
                <w:sz w:val="21"/>
                <w:szCs w:val="21"/>
              </w:rPr>
              <w:t>1</w:t>
            </w:r>
            <w:r>
              <w:rPr>
                <w:rFonts w:hint="eastAsia" w:ascii="仿宋_GB2312" w:hAnsi="仿宋_GB2312" w:eastAsia="仿宋_GB2312"/>
                <w:sz w:val="21"/>
                <w:szCs w:val="21"/>
              </w:rPr>
              <w:t>份。</w:t>
            </w:r>
            <w:r>
              <w:rPr>
                <w:rFonts w:ascii="仿宋_GB2312" w:hAnsi="仿宋_GB2312" w:eastAsia="仿宋_GB2312"/>
                <w:sz w:val="21"/>
                <w:szCs w:val="21"/>
              </w:rPr>
              <w:br w:type="textWrapping"/>
            </w:r>
            <w:r>
              <w:rPr>
                <w:rFonts w:hint="eastAsia" w:ascii="仿宋_GB2312" w:hAnsi="仿宋_GB2312" w:eastAsia="仿宋_GB2312"/>
                <w:sz w:val="21"/>
                <w:szCs w:val="21"/>
              </w:rPr>
              <w:t>　　</w:t>
            </w:r>
            <w:r>
              <w:rPr>
                <w:rFonts w:ascii="仿宋_GB2312" w:hAnsi="仿宋_GB2312" w:eastAsia="仿宋_GB2312"/>
                <w:sz w:val="21"/>
                <w:szCs w:val="21"/>
              </w:rPr>
              <w:t>2.</w:t>
            </w:r>
            <w:r>
              <w:rPr>
                <w:rFonts w:hint="eastAsia" w:ascii="仿宋_GB2312" w:hAnsi="仿宋_GB2312" w:eastAsia="仿宋_GB2312"/>
                <w:sz w:val="21"/>
                <w:szCs w:val="21"/>
              </w:rPr>
              <w:t>报送审查单位的文件有：申请初步设计文件审批的文件（复印件）及预审报告</w:t>
            </w:r>
            <w:r>
              <w:rPr>
                <w:rFonts w:ascii="仿宋_GB2312" w:hAnsi="仿宋_GB2312" w:eastAsia="仿宋_GB2312"/>
                <w:sz w:val="21"/>
                <w:szCs w:val="21"/>
              </w:rPr>
              <w:t>1</w:t>
            </w:r>
            <w:r>
              <w:rPr>
                <w:rFonts w:hint="eastAsia" w:ascii="仿宋_GB2312" w:hAnsi="仿宋_GB2312" w:eastAsia="仿宋_GB2312"/>
                <w:sz w:val="21"/>
                <w:szCs w:val="21"/>
              </w:rPr>
              <w:t>份，可行性研究报告批复文件（复印件）</w:t>
            </w:r>
            <w:r>
              <w:rPr>
                <w:rFonts w:ascii="仿宋_GB2312" w:hAnsi="仿宋_GB2312" w:eastAsia="仿宋_GB2312"/>
                <w:sz w:val="21"/>
                <w:szCs w:val="21"/>
              </w:rPr>
              <w:t>1</w:t>
            </w:r>
            <w:r>
              <w:rPr>
                <w:rFonts w:hint="eastAsia" w:ascii="仿宋_GB2312" w:hAnsi="仿宋_GB2312" w:eastAsia="仿宋_GB2312"/>
                <w:sz w:val="21"/>
                <w:szCs w:val="21"/>
              </w:rPr>
              <w:t>份，公路建设项目初步设计文件</w:t>
            </w:r>
            <w:r>
              <w:rPr>
                <w:rFonts w:ascii="仿宋_GB2312" w:hAnsi="仿宋_GB2312" w:eastAsia="仿宋_GB2312"/>
                <w:sz w:val="21"/>
                <w:szCs w:val="21"/>
              </w:rPr>
              <w:t>2</w:t>
            </w:r>
            <w:r>
              <w:rPr>
                <w:rFonts w:hint="eastAsia" w:ascii="仿宋_GB2312" w:hAnsi="仿宋_GB2312" w:eastAsia="仿宋_GB2312"/>
                <w:sz w:val="21"/>
                <w:szCs w:val="21"/>
              </w:rPr>
              <w:t>套，初步设计概算甲组文件</w:t>
            </w:r>
            <w:r>
              <w:rPr>
                <w:rFonts w:ascii="仿宋_GB2312" w:hAnsi="仿宋_GB2312" w:eastAsia="仿宋_GB2312"/>
                <w:sz w:val="21"/>
                <w:szCs w:val="21"/>
              </w:rPr>
              <w:t>2</w:t>
            </w:r>
            <w:r>
              <w:rPr>
                <w:rFonts w:hint="eastAsia" w:ascii="仿宋_GB2312" w:hAnsi="仿宋_GB2312" w:eastAsia="仿宋_GB2312"/>
                <w:sz w:val="21"/>
                <w:szCs w:val="21"/>
              </w:rPr>
              <w:t>套，</w:t>
            </w:r>
            <w:r>
              <w:rPr>
                <w:rFonts w:ascii="仿宋_GB2312" w:hAnsi="仿宋_GB2312" w:eastAsia="仿宋_GB2312"/>
                <w:sz w:val="21"/>
                <w:szCs w:val="21"/>
              </w:rPr>
              <w:t xml:space="preserve"> </w:t>
            </w:r>
            <w:r>
              <w:rPr>
                <w:rFonts w:hint="eastAsia" w:ascii="仿宋_GB2312" w:hAnsi="仿宋_GB2312" w:eastAsia="仿宋_GB2312"/>
                <w:sz w:val="21"/>
                <w:szCs w:val="21"/>
              </w:rPr>
              <w:t>初步设计概算乙组文件</w:t>
            </w:r>
            <w:r>
              <w:rPr>
                <w:rFonts w:ascii="仿宋_GB2312" w:hAnsi="仿宋_GB2312" w:eastAsia="仿宋_GB2312"/>
                <w:sz w:val="21"/>
                <w:szCs w:val="21"/>
              </w:rPr>
              <w:t>1</w:t>
            </w:r>
            <w:r>
              <w:rPr>
                <w:rFonts w:hint="eastAsia" w:ascii="仿宋_GB2312" w:hAnsi="仿宋_GB2312" w:eastAsia="仿宋_GB2312"/>
                <w:sz w:val="21"/>
                <w:szCs w:val="21"/>
              </w:rPr>
              <w:t>套，工程地质勘察报告</w:t>
            </w:r>
            <w:r>
              <w:rPr>
                <w:rFonts w:ascii="仿宋_GB2312" w:hAnsi="仿宋_GB2312" w:eastAsia="仿宋_GB2312"/>
                <w:sz w:val="21"/>
                <w:szCs w:val="21"/>
              </w:rPr>
              <w:t>2</w:t>
            </w:r>
            <w:r>
              <w:rPr>
                <w:rFonts w:hint="eastAsia" w:ascii="仿宋_GB2312" w:hAnsi="仿宋_GB2312" w:eastAsia="仿宋_GB2312"/>
                <w:sz w:val="21"/>
                <w:szCs w:val="21"/>
              </w:rPr>
              <w:t>套，地震危险性分析报告、环境保护及水土保持意见</w:t>
            </w:r>
            <w:r>
              <w:rPr>
                <w:rFonts w:ascii="仿宋_GB2312" w:hAnsi="仿宋_GB2312" w:eastAsia="仿宋_GB2312"/>
                <w:sz w:val="21"/>
                <w:szCs w:val="21"/>
              </w:rPr>
              <w:t>2</w:t>
            </w:r>
            <w:r>
              <w:rPr>
                <w:rFonts w:hint="eastAsia" w:ascii="仿宋_GB2312" w:hAnsi="仿宋_GB2312" w:eastAsia="仿宋_GB2312"/>
                <w:sz w:val="21"/>
                <w:szCs w:val="21"/>
              </w:rPr>
              <w:t>套。有特殊要求的项目，还应提供地质灾害危险性评估、安全风险评估等专题报告</w:t>
            </w:r>
            <w:r>
              <w:rPr>
                <w:rFonts w:ascii="仿宋_GB2312" w:hAnsi="仿宋_GB2312" w:eastAsia="仿宋_GB2312"/>
                <w:sz w:val="21"/>
                <w:szCs w:val="21"/>
              </w:rPr>
              <w:t>2</w:t>
            </w:r>
            <w:r>
              <w:rPr>
                <w:rFonts w:hint="eastAsia" w:ascii="仿宋_GB2312" w:hAnsi="仿宋_GB2312" w:eastAsia="仿宋_GB2312"/>
                <w:sz w:val="21"/>
                <w:szCs w:val="21"/>
              </w:rPr>
              <w:t>套</w:t>
            </w:r>
          </w:p>
        </w:tc>
        <w:tc>
          <w:tcPr>
            <w:tcW w:w="105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仿宋" w:hAnsi="仿宋" w:eastAsia="仿宋" w:cs="仿宋"/>
                <w:sz w:val="28"/>
                <w:szCs w:val="28"/>
              </w:rPr>
            </w:pPr>
          </w:p>
        </w:tc>
        <w:tc>
          <w:tcPr>
            <w:tcW w:w="1053" w:type="dxa"/>
            <w:tcBorders>
              <w:top w:val="single" w:color="auto" w:sz="4" w:space="0"/>
              <w:left w:val="single" w:color="000000" w:sz="2" w:space="0"/>
              <w:bottom w:val="single" w:color="auto" w:sz="4"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仿宋" w:hAnsi="仿宋" w:eastAsia="仿宋" w:cs="仿宋"/>
                <w:sz w:val="28"/>
                <w:szCs w:val="28"/>
              </w:rPr>
            </w:pPr>
            <w:r>
              <w:rPr>
                <w:rFonts w:hint="eastAsia" w:ascii="仿宋" w:hAnsi="仿宋" w:eastAsia="仿宋" w:cs="仿宋"/>
                <w:sz w:val="28"/>
                <w:szCs w:val="28"/>
                <w:lang w:eastAsia="zh-CN"/>
              </w:rPr>
              <w:t>保留</w:t>
            </w:r>
          </w:p>
        </w:tc>
        <w:tc>
          <w:tcPr>
            <w:tcW w:w="2174" w:type="dxa"/>
            <w:tcBorders>
              <w:top w:val="single" w:color="auto" w:sz="4" w:space="0"/>
              <w:left w:val="single" w:color="000000" w:sz="2" w:space="0"/>
              <w:bottom w:val="single" w:color="auto" w:sz="4" w:space="0"/>
              <w:right w:val="single" w:color="000000" w:sz="2" w:space="0"/>
            </w:tcBorders>
            <w:vAlign w:val="center"/>
          </w:tcPr>
          <w:p>
            <w:pPr>
              <w:pStyle w:val="3"/>
              <w:widowControl/>
              <w:spacing w:before="0" w:beforeAutospacing="0" w:after="0" w:afterAutospacing="0" w:line="360" w:lineRule="exact"/>
              <w:jc w:val="center"/>
              <w:rPr>
                <w:rFonts w:ascii="仿宋" w:hAnsi="仿宋" w:eastAsia="仿宋" w:cs="仿宋"/>
                <w:sz w:val="28"/>
                <w:szCs w:val="28"/>
              </w:rPr>
            </w:pPr>
            <w:r>
              <w:rPr>
                <w:rFonts w:hint="eastAsia" w:ascii="仿宋" w:hAnsi="仿宋" w:eastAsia="仿宋" w:cs="仿宋"/>
                <w:sz w:val="28"/>
                <w:szCs w:val="28"/>
                <w:lang w:val="en-US" w:eastAsia="zh-CN"/>
              </w:rPr>
              <w:t>否</w:t>
            </w:r>
          </w:p>
        </w:tc>
      </w:tr>
      <w:tr>
        <w:tblPrEx>
          <w:tblCellMar>
            <w:top w:w="15" w:type="dxa"/>
            <w:left w:w="15" w:type="dxa"/>
            <w:bottom w:w="15" w:type="dxa"/>
            <w:right w:w="15" w:type="dxa"/>
          </w:tblCellMar>
        </w:tblPrEx>
        <w:trPr>
          <w:trHeight w:val="552" w:hRule="atLeast"/>
        </w:trPr>
        <w:tc>
          <w:tcPr>
            <w:tcW w:w="528"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widowControl/>
              <w:spacing w:line="360" w:lineRule="exact"/>
              <w:jc w:val="center"/>
              <w:rPr>
                <w:rFonts w:ascii="仿宋" w:hAnsi="仿宋" w:eastAsia="仿宋" w:cs="仿宋"/>
                <w:sz w:val="28"/>
                <w:szCs w:val="28"/>
              </w:rPr>
            </w:pPr>
          </w:p>
        </w:tc>
        <w:tc>
          <w:tcPr>
            <w:tcW w:w="1913" w:type="dxa"/>
            <w:tcBorders>
              <w:top w:val="single" w:color="auto" w:sz="4" w:space="0"/>
              <w:left w:val="single" w:color="000000" w:sz="2" w:space="0"/>
              <w:bottom w:val="single" w:color="auto" w:sz="4" w:space="0"/>
              <w:right w:val="single" w:color="auto" w:sz="4" w:space="0"/>
            </w:tcBorders>
            <w:tcMar>
              <w:top w:w="0" w:type="dxa"/>
              <w:left w:w="0" w:type="dxa"/>
              <w:bottom w:w="0" w:type="dxa"/>
              <w:right w:w="0" w:type="dxa"/>
            </w:tcMar>
            <w:vAlign w:val="center"/>
          </w:tcPr>
          <w:p>
            <w:pPr>
              <w:widowControl/>
              <w:spacing w:line="360" w:lineRule="exact"/>
              <w:jc w:val="center"/>
              <w:rPr>
                <w:rFonts w:ascii="仿宋_GB2312" w:hAnsi="仿宋_GB2312" w:eastAsia="仿宋_GB2312"/>
                <w:sz w:val="28"/>
                <w:szCs w:val="28"/>
              </w:rPr>
            </w:pPr>
            <w:r>
              <w:rPr>
                <w:rFonts w:hint="eastAsia" w:ascii="仿宋_GB2312" w:hAnsi="仿宋_GB2312" w:eastAsia="仿宋_GB2312"/>
                <w:sz w:val="28"/>
                <w:szCs w:val="28"/>
              </w:rPr>
              <w:t>车辆运营证核发</w:t>
            </w:r>
          </w:p>
        </w:tc>
        <w:tc>
          <w:tcPr>
            <w:tcW w:w="1416" w:type="dxa"/>
            <w:tcBorders>
              <w:top w:val="single" w:color="000000" w:sz="2" w:space="0"/>
              <w:left w:val="single" w:color="auto" w:sz="4" w:space="0"/>
              <w:bottom w:val="single" w:color="000000" w:sz="2" w:space="0"/>
              <w:right w:val="single" w:color="auto" w:sz="4" w:space="0"/>
            </w:tcBorders>
            <w:tcMar>
              <w:top w:w="0" w:type="dxa"/>
              <w:left w:w="0" w:type="dxa"/>
              <w:bottom w:w="0" w:type="dxa"/>
              <w:right w:w="0" w:type="dxa"/>
            </w:tcMar>
            <w:vAlign w:val="center"/>
          </w:tcPr>
          <w:p>
            <w:pPr>
              <w:widowControl/>
              <w:spacing w:line="360" w:lineRule="exact"/>
              <w:ind w:firstLine="280" w:firstLineChars="100"/>
              <w:jc w:val="center"/>
              <w:rPr>
                <w:rFonts w:ascii="仿宋_GB2312" w:hAnsi="仿宋_GB2312" w:eastAsia="仿宋_GB2312"/>
                <w:sz w:val="28"/>
                <w:szCs w:val="28"/>
              </w:rPr>
            </w:pPr>
            <w:r>
              <w:rPr>
                <w:rFonts w:hint="eastAsia" w:ascii="仿宋_GB2312" w:hAnsi="仿宋_GB2312" w:eastAsia="仿宋_GB2312"/>
                <w:sz w:val="28"/>
                <w:szCs w:val="28"/>
              </w:rPr>
              <w:t>行政许可</w:t>
            </w:r>
          </w:p>
        </w:tc>
        <w:tc>
          <w:tcPr>
            <w:tcW w:w="2261" w:type="dxa"/>
            <w:tcBorders>
              <w:top w:val="single" w:color="000000" w:sz="2" w:space="0"/>
              <w:left w:val="single" w:color="auto" w:sz="4" w:space="0"/>
              <w:bottom w:val="single" w:color="000000" w:sz="2" w:space="0"/>
              <w:right w:val="single" w:color="000000" w:sz="2" w:space="0"/>
            </w:tcBorders>
            <w:tcMar>
              <w:top w:w="0" w:type="dxa"/>
              <w:left w:w="0" w:type="dxa"/>
              <w:bottom w:w="0" w:type="dxa"/>
              <w:right w:w="0" w:type="dxa"/>
            </w:tcMar>
            <w:vAlign w:val="center"/>
          </w:tcPr>
          <w:p>
            <w:pPr>
              <w:widowControl/>
              <w:spacing w:line="360" w:lineRule="exact"/>
              <w:rPr>
                <w:rFonts w:ascii="仿宋_GB2312" w:hAnsi="仿宋_GB2312" w:eastAsia="仿宋_GB2312"/>
                <w:sz w:val="30"/>
                <w:szCs w:val="30"/>
              </w:rPr>
            </w:pPr>
            <w:r>
              <w:rPr>
                <w:rFonts w:hint="eastAsia" w:ascii="仿宋_GB2312" w:hAnsi="仿宋_GB2312" w:eastAsia="仿宋_GB2312"/>
                <w:w w:val="66"/>
                <w:sz w:val="30"/>
                <w:szCs w:val="30"/>
              </w:rPr>
              <w:t>客货运输车辆营运证配发表，机动车登记证书、行驶证</w:t>
            </w:r>
          </w:p>
        </w:tc>
        <w:tc>
          <w:tcPr>
            <w:tcW w:w="5736"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widowControl/>
              <w:spacing w:line="360" w:lineRule="exact"/>
              <w:rPr>
                <w:rFonts w:ascii="仿宋_GB2312" w:hAnsi="仿宋_GB2312" w:eastAsia="仿宋_GB2312"/>
                <w:sz w:val="28"/>
                <w:szCs w:val="28"/>
              </w:rPr>
            </w:pPr>
            <w:r>
              <w:rPr>
                <w:rFonts w:hint="eastAsia" w:ascii="仿宋_GB2312" w:hAnsi="仿宋_GB2312" w:eastAsia="仿宋_GB2312"/>
                <w:sz w:val="28"/>
                <w:szCs w:val="28"/>
              </w:rPr>
              <w:t>《道路旅客运输及客运站管理规定》第十五条</w:t>
            </w:r>
          </w:p>
        </w:tc>
        <w:tc>
          <w:tcPr>
            <w:tcW w:w="105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仿宋" w:hAnsi="仿宋" w:eastAsia="仿宋" w:cs="仿宋"/>
                <w:sz w:val="28"/>
                <w:szCs w:val="28"/>
              </w:rPr>
            </w:pPr>
          </w:p>
        </w:tc>
        <w:tc>
          <w:tcPr>
            <w:tcW w:w="1053" w:type="dxa"/>
            <w:tcBorders>
              <w:top w:val="single" w:color="auto" w:sz="4" w:space="0"/>
              <w:left w:val="single" w:color="000000" w:sz="2" w:space="0"/>
              <w:bottom w:val="single" w:color="auto" w:sz="4"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仿宋" w:hAnsi="仿宋" w:eastAsia="仿宋" w:cs="仿宋"/>
                <w:sz w:val="28"/>
                <w:szCs w:val="28"/>
              </w:rPr>
            </w:pPr>
            <w:r>
              <w:rPr>
                <w:rFonts w:hint="eastAsia" w:ascii="仿宋" w:hAnsi="仿宋" w:eastAsia="仿宋" w:cs="仿宋"/>
                <w:sz w:val="28"/>
                <w:szCs w:val="28"/>
                <w:lang w:eastAsia="zh-CN"/>
              </w:rPr>
              <w:t>保留</w:t>
            </w:r>
          </w:p>
        </w:tc>
        <w:tc>
          <w:tcPr>
            <w:tcW w:w="2174" w:type="dxa"/>
            <w:tcBorders>
              <w:top w:val="single" w:color="auto" w:sz="4" w:space="0"/>
              <w:left w:val="single" w:color="000000" w:sz="2" w:space="0"/>
              <w:bottom w:val="single" w:color="auto" w:sz="4" w:space="0"/>
              <w:right w:val="single" w:color="000000" w:sz="2" w:space="0"/>
            </w:tcBorders>
            <w:vAlign w:val="center"/>
          </w:tcPr>
          <w:p>
            <w:pPr>
              <w:pStyle w:val="3"/>
              <w:widowControl/>
              <w:spacing w:before="0" w:beforeAutospacing="0" w:after="0" w:afterAutospacing="0" w:line="360" w:lineRule="exact"/>
              <w:jc w:val="center"/>
              <w:rPr>
                <w:rFonts w:ascii="仿宋" w:hAnsi="仿宋" w:eastAsia="仿宋" w:cs="仿宋"/>
                <w:sz w:val="28"/>
                <w:szCs w:val="28"/>
              </w:rPr>
            </w:pPr>
            <w:r>
              <w:rPr>
                <w:rFonts w:hint="eastAsia" w:ascii="仿宋" w:hAnsi="仿宋" w:eastAsia="仿宋" w:cs="仿宋"/>
                <w:sz w:val="28"/>
                <w:szCs w:val="28"/>
                <w:lang w:val="en-US" w:eastAsia="zh-CN"/>
              </w:rPr>
              <w:t>否</w:t>
            </w:r>
          </w:p>
        </w:tc>
      </w:tr>
      <w:tr>
        <w:tblPrEx>
          <w:tblCellMar>
            <w:top w:w="15" w:type="dxa"/>
            <w:left w:w="15" w:type="dxa"/>
            <w:bottom w:w="15" w:type="dxa"/>
            <w:right w:w="15" w:type="dxa"/>
          </w:tblCellMar>
        </w:tblPrEx>
        <w:trPr>
          <w:trHeight w:val="552" w:hRule="atLeast"/>
        </w:trPr>
        <w:tc>
          <w:tcPr>
            <w:tcW w:w="528"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widowControl/>
              <w:spacing w:line="360" w:lineRule="exact"/>
              <w:jc w:val="center"/>
              <w:rPr>
                <w:rFonts w:ascii="仿宋" w:hAnsi="仿宋" w:eastAsia="仿宋" w:cs="仿宋"/>
                <w:sz w:val="28"/>
                <w:szCs w:val="28"/>
              </w:rPr>
            </w:pPr>
          </w:p>
        </w:tc>
        <w:tc>
          <w:tcPr>
            <w:tcW w:w="1913" w:type="dxa"/>
            <w:tcBorders>
              <w:top w:val="single" w:color="auto" w:sz="4" w:space="0"/>
              <w:left w:val="single" w:color="000000" w:sz="2"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仿宋_GB2312" w:hAnsi="仿宋_GB2312" w:eastAsia="仿宋_GB2312"/>
                <w:sz w:val="28"/>
                <w:szCs w:val="28"/>
              </w:rPr>
            </w:pPr>
            <w:r>
              <w:rPr>
                <w:rFonts w:hint="eastAsia" w:ascii="仿宋_GB2312" w:hAnsi="仿宋_GB2312" w:eastAsia="仿宋_GB2312"/>
                <w:w w:val="80"/>
                <w:sz w:val="28"/>
                <w:szCs w:val="28"/>
              </w:rPr>
              <w:t>在公路（高速公路除外）用地范围内设置非公路标志审批</w:t>
            </w:r>
          </w:p>
        </w:tc>
        <w:tc>
          <w:tcPr>
            <w:tcW w:w="1416" w:type="dxa"/>
            <w:tcBorders>
              <w:top w:val="single" w:color="000000" w:sz="2" w:space="0"/>
              <w:left w:val="single" w:color="auto" w:sz="4" w:space="0"/>
              <w:bottom w:val="single" w:color="000000" w:sz="2"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40" w:lineRule="exact"/>
              <w:ind w:firstLine="280" w:firstLineChars="100"/>
              <w:jc w:val="center"/>
              <w:textAlignment w:val="auto"/>
              <w:rPr>
                <w:rFonts w:ascii="仿宋_GB2312" w:hAnsi="仿宋_GB2312" w:eastAsia="仿宋_GB2312"/>
                <w:sz w:val="28"/>
                <w:szCs w:val="28"/>
              </w:rPr>
            </w:pPr>
            <w:r>
              <w:rPr>
                <w:rFonts w:hint="eastAsia" w:ascii="仿宋_GB2312" w:hAnsi="仿宋_GB2312" w:eastAsia="仿宋_GB2312"/>
                <w:sz w:val="28"/>
                <w:szCs w:val="28"/>
              </w:rPr>
              <w:t>行政许可</w:t>
            </w:r>
          </w:p>
        </w:tc>
        <w:tc>
          <w:tcPr>
            <w:tcW w:w="2261" w:type="dxa"/>
            <w:tcBorders>
              <w:top w:val="single" w:color="000000" w:sz="2" w:space="0"/>
              <w:left w:val="single" w:color="auto" w:sz="4" w:space="0"/>
              <w:bottom w:val="single" w:color="000000" w:sz="2" w:space="0"/>
              <w:right w:val="single" w:color="000000" w:sz="2"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仿宋_GB2312" w:hAnsi="仿宋_GB2312" w:eastAsia="仿宋_GB2312"/>
                <w:sz w:val="28"/>
                <w:szCs w:val="28"/>
              </w:rPr>
            </w:pPr>
            <w:r>
              <w:rPr>
                <w:rFonts w:hint="eastAsia" w:ascii="仿宋_GB2312" w:hAnsi="仿宋_GB2312" w:eastAsia="仿宋_GB2312"/>
                <w:sz w:val="28"/>
                <w:szCs w:val="28"/>
              </w:rPr>
              <w:t>行政许可申请书，抗风荷、抗震评估检定报告</w:t>
            </w:r>
          </w:p>
        </w:tc>
        <w:tc>
          <w:tcPr>
            <w:tcW w:w="5736"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仿宋_GB2312" w:hAnsi="仿宋_GB2312" w:eastAsia="仿宋_GB2312"/>
                <w:sz w:val="28"/>
                <w:szCs w:val="28"/>
              </w:rPr>
            </w:pPr>
            <w:r>
              <w:rPr>
                <w:rFonts w:hint="eastAsia" w:ascii="仿宋_GB2312" w:hAnsi="仿宋_GB2312" w:eastAsia="仿宋_GB2312"/>
                <w:w w:val="80"/>
                <w:sz w:val="21"/>
                <w:szCs w:val="21"/>
              </w:rPr>
              <w:t>《中华人民共和国行政许可法》第二十九条</w:t>
            </w:r>
            <w:r>
              <w:rPr>
                <w:rFonts w:ascii="仿宋_GB2312" w:hAnsi="仿宋_GB2312" w:eastAsia="仿宋_GB2312"/>
                <w:w w:val="80"/>
                <w:sz w:val="21"/>
                <w:szCs w:val="21"/>
              </w:rPr>
              <w:t xml:space="preserve"> </w:t>
            </w:r>
            <w:r>
              <w:rPr>
                <w:rFonts w:hint="eastAsia" w:ascii="仿宋_GB2312" w:hAnsi="仿宋_GB2312" w:eastAsia="仿宋_GB2312"/>
                <w:w w:val="80"/>
                <w:sz w:val="21"/>
                <w:szCs w:val="21"/>
              </w:rPr>
              <w:t>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tc>
        <w:tc>
          <w:tcPr>
            <w:tcW w:w="105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仿宋" w:hAnsi="仿宋" w:eastAsia="仿宋" w:cs="仿宋"/>
                <w:sz w:val="28"/>
                <w:szCs w:val="28"/>
              </w:rPr>
            </w:pPr>
          </w:p>
        </w:tc>
        <w:tc>
          <w:tcPr>
            <w:tcW w:w="1053" w:type="dxa"/>
            <w:tcBorders>
              <w:top w:val="single" w:color="auto" w:sz="4" w:space="0"/>
              <w:left w:val="single" w:color="000000" w:sz="2" w:space="0"/>
              <w:bottom w:val="single" w:color="auto" w:sz="4"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仿宋" w:hAnsi="仿宋" w:eastAsia="仿宋" w:cs="仿宋"/>
                <w:sz w:val="28"/>
                <w:szCs w:val="28"/>
              </w:rPr>
            </w:pPr>
            <w:r>
              <w:rPr>
                <w:rFonts w:hint="eastAsia" w:ascii="仿宋" w:hAnsi="仿宋" w:eastAsia="仿宋" w:cs="仿宋"/>
                <w:sz w:val="28"/>
                <w:szCs w:val="28"/>
                <w:lang w:eastAsia="zh-CN"/>
              </w:rPr>
              <w:t>保留</w:t>
            </w:r>
          </w:p>
        </w:tc>
        <w:tc>
          <w:tcPr>
            <w:tcW w:w="2174" w:type="dxa"/>
            <w:tcBorders>
              <w:top w:val="single" w:color="auto" w:sz="4" w:space="0"/>
              <w:left w:val="single" w:color="000000" w:sz="2" w:space="0"/>
              <w:bottom w:val="single" w:color="auto" w:sz="4" w:space="0"/>
              <w:right w:val="single" w:color="000000" w:sz="2" w:space="0"/>
            </w:tcBorders>
            <w:vAlign w:val="center"/>
          </w:tcPr>
          <w:p>
            <w:pPr>
              <w:pStyle w:val="3"/>
              <w:widowControl/>
              <w:spacing w:before="0" w:beforeAutospacing="0" w:after="0" w:afterAutospacing="0" w:line="360" w:lineRule="exact"/>
              <w:jc w:val="center"/>
              <w:rPr>
                <w:rFonts w:ascii="仿宋" w:hAnsi="仿宋" w:eastAsia="仿宋" w:cs="仿宋"/>
                <w:sz w:val="28"/>
                <w:szCs w:val="28"/>
              </w:rPr>
            </w:pPr>
            <w:r>
              <w:rPr>
                <w:rFonts w:hint="eastAsia" w:ascii="仿宋" w:hAnsi="仿宋" w:eastAsia="仿宋" w:cs="仿宋"/>
                <w:sz w:val="28"/>
                <w:szCs w:val="28"/>
                <w:lang w:val="en-US" w:eastAsia="zh-CN"/>
              </w:rPr>
              <w:t>否</w:t>
            </w:r>
          </w:p>
        </w:tc>
      </w:tr>
      <w:tr>
        <w:tblPrEx>
          <w:tblCellMar>
            <w:top w:w="15" w:type="dxa"/>
            <w:left w:w="15" w:type="dxa"/>
            <w:bottom w:w="15" w:type="dxa"/>
            <w:right w:w="15" w:type="dxa"/>
          </w:tblCellMar>
        </w:tblPrEx>
        <w:trPr>
          <w:trHeight w:val="552" w:hRule="atLeast"/>
        </w:trPr>
        <w:tc>
          <w:tcPr>
            <w:tcW w:w="528"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widowControl/>
              <w:spacing w:line="360" w:lineRule="exact"/>
              <w:jc w:val="center"/>
              <w:rPr>
                <w:rFonts w:ascii="仿宋" w:hAnsi="仿宋" w:eastAsia="仿宋" w:cs="仿宋"/>
                <w:sz w:val="28"/>
                <w:szCs w:val="28"/>
              </w:rPr>
            </w:pPr>
          </w:p>
        </w:tc>
        <w:tc>
          <w:tcPr>
            <w:tcW w:w="1913" w:type="dxa"/>
            <w:tcBorders>
              <w:top w:val="single" w:color="auto" w:sz="4" w:space="0"/>
              <w:left w:val="single" w:color="000000" w:sz="2" w:space="0"/>
              <w:bottom w:val="single" w:color="auto" w:sz="4" w:space="0"/>
              <w:right w:val="single" w:color="auto" w:sz="4" w:space="0"/>
            </w:tcBorders>
            <w:tcMar>
              <w:top w:w="0" w:type="dxa"/>
              <w:left w:w="0" w:type="dxa"/>
              <w:bottom w:w="0" w:type="dxa"/>
              <w:right w:w="0" w:type="dxa"/>
            </w:tcMar>
            <w:vAlign w:val="center"/>
          </w:tcPr>
          <w:p>
            <w:pPr>
              <w:widowControl/>
              <w:spacing w:line="360" w:lineRule="exact"/>
              <w:jc w:val="center"/>
              <w:rPr>
                <w:rFonts w:ascii="仿宋_GB2312" w:hAnsi="仿宋_GB2312" w:eastAsia="仿宋_GB2312"/>
                <w:sz w:val="28"/>
                <w:szCs w:val="28"/>
              </w:rPr>
            </w:pPr>
            <w:r>
              <w:rPr>
                <w:rFonts w:hint="eastAsia" w:ascii="仿宋_GB2312" w:hAnsi="仿宋_GB2312" w:eastAsia="仿宋_GB2312"/>
                <w:sz w:val="28"/>
                <w:szCs w:val="28"/>
              </w:rPr>
              <w:t>道路客运企业分立</w:t>
            </w:r>
          </w:p>
        </w:tc>
        <w:tc>
          <w:tcPr>
            <w:tcW w:w="1416" w:type="dxa"/>
            <w:tcBorders>
              <w:top w:val="single" w:color="000000" w:sz="2" w:space="0"/>
              <w:left w:val="single" w:color="auto" w:sz="4" w:space="0"/>
              <w:bottom w:val="single" w:color="000000" w:sz="2" w:space="0"/>
              <w:right w:val="single" w:color="auto" w:sz="4" w:space="0"/>
            </w:tcBorders>
            <w:tcMar>
              <w:top w:w="0" w:type="dxa"/>
              <w:left w:w="0" w:type="dxa"/>
              <w:bottom w:w="0" w:type="dxa"/>
              <w:right w:w="0" w:type="dxa"/>
            </w:tcMar>
            <w:vAlign w:val="center"/>
          </w:tcPr>
          <w:p>
            <w:pPr>
              <w:widowControl/>
              <w:spacing w:line="360" w:lineRule="exact"/>
              <w:ind w:firstLine="280" w:firstLineChars="100"/>
              <w:jc w:val="center"/>
              <w:rPr>
                <w:rFonts w:ascii="仿宋_GB2312" w:hAnsi="仿宋_GB2312" w:eastAsia="仿宋_GB2312"/>
                <w:sz w:val="28"/>
                <w:szCs w:val="28"/>
              </w:rPr>
            </w:pPr>
            <w:r>
              <w:rPr>
                <w:rFonts w:hint="eastAsia" w:ascii="仿宋_GB2312" w:hAnsi="仿宋_GB2312" w:eastAsia="仿宋_GB2312"/>
                <w:sz w:val="28"/>
                <w:szCs w:val="28"/>
              </w:rPr>
              <w:t>行政许可</w:t>
            </w:r>
          </w:p>
        </w:tc>
        <w:tc>
          <w:tcPr>
            <w:tcW w:w="2261" w:type="dxa"/>
            <w:tcBorders>
              <w:top w:val="single" w:color="000000" w:sz="2" w:space="0"/>
              <w:left w:val="single" w:color="auto" w:sz="4" w:space="0"/>
              <w:bottom w:val="single" w:color="000000" w:sz="2" w:space="0"/>
              <w:right w:val="single" w:color="000000" w:sz="2" w:space="0"/>
            </w:tcBorders>
            <w:tcMar>
              <w:top w:w="0" w:type="dxa"/>
              <w:left w:w="0" w:type="dxa"/>
              <w:bottom w:w="0" w:type="dxa"/>
              <w:right w:w="0" w:type="dxa"/>
            </w:tcMar>
            <w:vAlign w:val="center"/>
          </w:tcPr>
          <w:p>
            <w:pPr>
              <w:widowControl/>
              <w:spacing w:line="360" w:lineRule="exact"/>
              <w:rPr>
                <w:rFonts w:ascii="仿宋_GB2312" w:hAnsi="仿宋_GB2312" w:eastAsia="仿宋_GB2312"/>
                <w:sz w:val="28"/>
                <w:szCs w:val="28"/>
              </w:rPr>
            </w:pPr>
            <w:r>
              <w:rPr>
                <w:rFonts w:hint="eastAsia" w:ascii="仿宋_GB2312" w:hAnsi="仿宋_GB2312" w:eastAsia="仿宋_GB2312"/>
                <w:sz w:val="28"/>
                <w:szCs w:val="28"/>
              </w:rPr>
              <w:t>《道路运输企业设立分公司备案登记表》</w:t>
            </w:r>
          </w:p>
        </w:tc>
        <w:tc>
          <w:tcPr>
            <w:tcW w:w="5736"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widowControl/>
              <w:spacing w:line="260" w:lineRule="exact"/>
              <w:rPr>
                <w:rFonts w:ascii="仿宋_GB2312" w:hAnsi="仿宋_GB2312" w:eastAsia="仿宋_GB2312"/>
                <w:sz w:val="28"/>
                <w:szCs w:val="28"/>
              </w:rPr>
            </w:pPr>
            <w:r>
              <w:rPr>
                <w:rFonts w:hint="eastAsia" w:ascii="仿宋_GB2312" w:hAnsi="仿宋_GB2312" w:eastAsia="仿宋_GB2312"/>
                <w:w w:val="80"/>
                <w:sz w:val="21"/>
                <w:szCs w:val="21"/>
              </w:rPr>
              <w:t>《道路运输管理工作规范》第六章、道路旅客运输管理工作规范；第一节、道路旅客运输经营许可；第五条、道路旅客运输企业设立分公司的报备程序</w:t>
            </w:r>
            <w:r>
              <w:rPr>
                <w:rFonts w:ascii="仿宋_GB2312" w:hAnsi="仿宋_GB2312" w:eastAsia="仿宋_GB2312"/>
                <w:w w:val="80"/>
                <w:sz w:val="21"/>
                <w:szCs w:val="21"/>
              </w:rPr>
              <w:br w:type="textWrapping"/>
            </w:r>
            <w:r>
              <w:rPr>
                <w:rFonts w:hint="eastAsia" w:ascii="仿宋_GB2312" w:hAnsi="仿宋_GB2312" w:eastAsia="仿宋_GB2312"/>
                <w:w w:val="80"/>
                <w:sz w:val="21"/>
                <w:szCs w:val="21"/>
              </w:rPr>
              <w:t>（一）道路旅客运输企业设立分公司的报备程序如下：</w:t>
            </w:r>
            <w:r>
              <w:rPr>
                <w:rFonts w:ascii="仿宋_GB2312" w:hAnsi="仿宋_GB2312" w:eastAsia="仿宋_GB2312"/>
                <w:w w:val="80"/>
                <w:sz w:val="21"/>
                <w:szCs w:val="21"/>
              </w:rPr>
              <w:br w:type="textWrapping"/>
            </w:r>
            <w:r>
              <w:rPr>
                <w:rFonts w:ascii="仿宋_GB2312" w:hAnsi="仿宋_GB2312" w:eastAsia="仿宋_GB2312"/>
                <w:w w:val="80"/>
                <w:sz w:val="21"/>
                <w:szCs w:val="21"/>
              </w:rPr>
              <w:t>1.</w:t>
            </w:r>
            <w:r>
              <w:rPr>
                <w:rFonts w:hint="eastAsia" w:ascii="仿宋_GB2312" w:hAnsi="仿宋_GB2312" w:eastAsia="仿宋_GB2312"/>
                <w:w w:val="80"/>
                <w:sz w:val="21"/>
                <w:szCs w:val="21"/>
              </w:rPr>
              <w:t>分公司设立地与总公司设立地在同一县市区的：</w:t>
            </w:r>
            <w:r>
              <w:rPr>
                <w:rFonts w:ascii="仿宋_GB2312" w:hAnsi="仿宋_GB2312" w:eastAsia="仿宋_GB2312"/>
                <w:w w:val="80"/>
                <w:sz w:val="21"/>
                <w:szCs w:val="21"/>
              </w:rPr>
              <w:br w:type="textWrapping"/>
            </w:r>
            <w:r>
              <w:rPr>
                <w:rFonts w:hint="eastAsia" w:ascii="仿宋_GB2312" w:hAnsi="仿宋_GB2312" w:eastAsia="仿宋_GB2312"/>
                <w:w w:val="80"/>
                <w:sz w:val="21"/>
                <w:szCs w:val="21"/>
              </w:rPr>
              <w:t>（</w:t>
            </w:r>
            <w:r>
              <w:rPr>
                <w:rFonts w:ascii="仿宋_GB2312" w:hAnsi="仿宋_GB2312" w:eastAsia="仿宋_GB2312"/>
                <w:w w:val="80"/>
                <w:sz w:val="21"/>
                <w:szCs w:val="21"/>
              </w:rPr>
              <w:t>1</w:t>
            </w:r>
            <w:r>
              <w:rPr>
                <w:rFonts w:hint="eastAsia" w:ascii="仿宋_GB2312" w:hAnsi="仿宋_GB2312" w:eastAsia="仿宋_GB2312"/>
                <w:w w:val="80"/>
                <w:sz w:val="21"/>
                <w:szCs w:val="21"/>
              </w:rPr>
              <w:t>）道路旅客运输企业应当填写《道路运输企业设立分公司备案登记表》，经设立地道路运输管理机构同意后向原《道路运输经营许可证》核发机关报备。</w:t>
            </w:r>
            <w:r>
              <w:rPr>
                <w:rFonts w:ascii="仿宋_GB2312" w:hAnsi="仿宋_GB2312" w:eastAsia="仿宋_GB2312"/>
                <w:w w:val="80"/>
                <w:sz w:val="21"/>
                <w:szCs w:val="21"/>
              </w:rPr>
              <w:br w:type="textWrapping"/>
            </w:r>
            <w:r>
              <w:rPr>
                <w:rFonts w:hint="eastAsia" w:ascii="仿宋_GB2312" w:hAnsi="仿宋_GB2312" w:eastAsia="仿宋_GB2312"/>
                <w:w w:val="80"/>
                <w:sz w:val="21"/>
                <w:szCs w:val="21"/>
              </w:rPr>
              <w:t>（</w:t>
            </w:r>
            <w:r>
              <w:rPr>
                <w:rFonts w:ascii="仿宋_GB2312" w:hAnsi="仿宋_GB2312" w:eastAsia="仿宋_GB2312"/>
                <w:w w:val="80"/>
                <w:sz w:val="21"/>
                <w:szCs w:val="21"/>
              </w:rPr>
              <w:t>2</w:t>
            </w:r>
            <w:r>
              <w:rPr>
                <w:rFonts w:hint="eastAsia" w:ascii="仿宋_GB2312" w:hAnsi="仿宋_GB2312" w:eastAsia="仿宋_GB2312"/>
                <w:w w:val="80"/>
                <w:sz w:val="21"/>
                <w:szCs w:val="21"/>
              </w:rPr>
              <w:t>）原道路运输管理机构在《道路运输经营许可证》副本“分支机构”栏中予以注明，同时向分公司核发新的《道路运输经营许可证》副本，并出具《道路运输企业分公司备案证明》。</w:t>
            </w:r>
            <w:r>
              <w:rPr>
                <w:rFonts w:ascii="仿宋_GB2312" w:hAnsi="仿宋_GB2312" w:eastAsia="仿宋_GB2312"/>
                <w:w w:val="80"/>
                <w:sz w:val="21"/>
                <w:szCs w:val="21"/>
              </w:rPr>
              <w:br w:type="textWrapping"/>
            </w:r>
            <w:r>
              <w:rPr>
                <w:rFonts w:ascii="仿宋_GB2312" w:hAnsi="仿宋_GB2312" w:eastAsia="仿宋_GB2312"/>
                <w:w w:val="80"/>
                <w:sz w:val="21"/>
                <w:szCs w:val="21"/>
              </w:rPr>
              <w:t>2.</w:t>
            </w:r>
            <w:r>
              <w:rPr>
                <w:rFonts w:hint="eastAsia" w:ascii="仿宋_GB2312" w:hAnsi="仿宋_GB2312" w:eastAsia="仿宋_GB2312"/>
                <w:w w:val="80"/>
                <w:sz w:val="21"/>
                <w:szCs w:val="21"/>
              </w:rPr>
              <w:t>分公司设立地与总公司设立地不在同一县市区的：</w:t>
            </w:r>
            <w:r>
              <w:rPr>
                <w:rFonts w:ascii="仿宋_GB2312" w:hAnsi="仿宋_GB2312" w:eastAsia="仿宋_GB2312"/>
                <w:w w:val="80"/>
                <w:sz w:val="21"/>
                <w:szCs w:val="21"/>
              </w:rPr>
              <w:br w:type="textWrapping"/>
            </w:r>
            <w:r>
              <w:rPr>
                <w:rFonts w:hint="eastAsia" w:ascii="仿宋_GB2312" w:hAnsi="仿宋_GB2312" w:eastAsia="仿宋_GB2312"/>
                <w:w w:val="80"/>
                <w:sz w:val="21"/>
                <w:szCs w:val="21"/>
              </w:rPr>
              <w:t>（</w:t>
            </w:r>
            <w:r>
              <w:rPr>
                <w:rFonts w:ascii="仿宋_GB2312" w:hAnsi="仿宋_GB2312" w:eastAsia="仿宋_GB2312"/>
                <w:w w:val="80"/>
                <w:sz w:val="21"/>
                <w:szCs w:val="21"/>
              </w:rPr>
              <w:t>1</w:t>
            </w:r>
            <w:r>
              <w:rPr>
                <w:rFonts w:hint="eastAsia" w:ascii="仿宋_GB2312" w:hAnsi="仿宋_GB2312" w:eastAsia="仿宋_GB2312"/>
                <w:w w:val="80"/>
                <w:sz w:val="21"/>
                <w:szCs w:val="21"/>
              </w:rPr>
              <w:t>）道路旅客运输企业应当填写《道路运输企业设立分公司备案登记表》并向分公司注册地的道路运输管理机构报备，提供总公司所在地道路运输管理机构出具的《关于同意</w:t>
            </w:r>
            <w:r>
              <w:rPr>
                <w:rFonts w:ascii="仿宋_GB2312" w:hAnsi="仿宋_GB2312" w:eastAsia="仿宋_GB2312"/>
                <w:w w:val="80"/>
                <w:sz w:val="21"/>
                <w:szCs w:val="21"/>
              </w:rPr>
              <w:t>XXXX</w:t>
            </w:r>
            <w:r>
              <w:rPr>
                <w:rFonts w:hint="eastAsia" w:ascii="仿宋_GB2312" w:hAnsi="仿宋_GB2312" w:eastAsia="仿宋_GB2312"/>
                <w:w w:val="80"/>
                <w:sz w:val="21"/>
                <w:szCs w:val="21"/>
              </w:rPr>
              <w:t>设立分公司的函》和《企业法人营业执照》、《道路运输经营许可证》正本及复印件、《道路运输经营许可证》副本及复印件。</w:t>
            </w:r>
            <w:r>
              <w:rPr>
                <w:rFonts w:ascii="仿宋_GB2312" w:hAnsi="仿宋_GB2312" w:eastAsia="仿宋_GB2312"/>
                <w:w w:val="80"/>
                <w:sz w:val="21"/>
                <w:szCs w:val="21"/>
              </w:rPr>
              <w:br w:type="textWrapping"/>
            </w:r>
            <w:r>
              <w:rPr>
                <w:rFonts w:hint="eastAsia" w:ascii="仿宋_GB2312" w:hAnsi="仿宋_GB2312" w:eastAsia="仿宋_GB2312"/>
                <w:w w:val="80"/>
                <w:sz w:val="21"/>
                <w:szCs w:val="21"/>
              </w:rPr>
              <w:t>（</w:t>
            </w:r>
            <w:r>
              <w:rPr>
                <w:rFonts w:ascii="仿宋_GB2312" w:hAnsi="仿宋_GB2312" w:eastAsia="仿宋_GB2312"/>
                <w:w w:val="80"/>
                <w:sz w:val="21"/>
                <w:szCs w:val="21"/>
              </w:rPr>
              <w:t>2</w:t>
            </w:r>
            <w:r>
              <w:rPr>
                <w:rFonts w:hint="eastAsia" w:ascii="仿宋_GB2312" w:hAnsi="仿宋_GB2312" w:eastAsia="仿宋_GB2312"/>
                <w:w w:val="80"/>
                <w:sz w:val="21"/>
                <w:szCs w:val="21"/>
              </w:rPr>
              <w:t>）分公司注册地的道路运输管理机构经核实，道路旅客运输企业提供的材料真实，且符合从事道路旅客运输经营活动条件的，道路运输管理机构应当出具《关于同意</w:t>
            </w:r>
            <w:r>
              <w:rPr>
                <w:rFonts w:ascii="仿宋_GB2312" w:hAnsi="仿宋_GB2312" w:eastAsia="仿宋_GB2312"/>
                <w:w w:val="80"/>
                <w:sz w:val="21"/>
                <w:szCs w:val="21"/>
              </w:rPr>
              <w:t>XXXX</w:t>
            </w:r>
            <w:r>
              <w:rPr>
                <w:rFonts w:hint="eastAsia" w:ascii="仿宋_GB2312" w:hAnsi="仿宋_GB2312" w:eastAsia="仿宋_GB2312"/>
                <w:w w:val="80"/>
                <w:sz w:val="21"/>
                <w:szCs w:val="21"/>
              </w:rPr>
              <w:t>设立分公司的复函》，由原道路运输许可机构向分公司核发新的《道路运输经营许可证》副本，出具《道路运输企业分公司备案证明》。</w:t>
            </w:r>
            <w:r>
              <w:rPr>
                <w:rFonts w:ascii="仿宋_GB2312" w:hAnsi="仿宋_GB2312" w:eastAsia="仿宋_GB2312"/>
                <w:w w:val="80"/>
                <w:sz w:val="21"/>
                <w:szCs w:val="21"/>
              </w:rPr>
              <w:br w:type="textWrapping"/>
            </w:r>
            <w:r>
              <w:rPr>
                <w:rFonts w:hint="eastAsia" w:ascii="仿宋_GB2312" w:hAnsi="仿宋_GB2312" w:eastAsia="仿宋_GB2312"/>
                <w:w w:val="80"/>
                <w:sz w:val="21"/>
                <w:szCs w:val="21"/>
              </w:rPr>
              <w:t>（二）分公司的客运车辆，由分公司所在地的道路运输管理机构审核车辆条件，符合要求的，配发《道路运输证》。</w:t>
            </w:r>
            <w:r>
              <w:rPr>
                <w:rFonts w:ascii="仿宋_GB2312" w:hAnsi="仿宋_GB2312" w:eastAsia="仿宋_GB2312"/>
                <w:w w:val="80"/>
                <w:sz w:val="21"/>
                <w:szCs w:val="21"/>
              </w:rPr>
              <w:br w:type="textWrapping"/>
            </w:r>
            <w:r>
              <w:rPr>
                <w:rFonts w:hint="eastAsia" w:ascii="仿宋_GB2312" w:hAnsi="仿宋_GB2312" w:eastAsia="仿宋_GB2312"/>
                <w:w w:val="80"/>
                <w:sz w:val="21"/>
                <w:szCs w:val="21"/>
              </w:rPr>
              <w:t>（三）分公司需新增客运线路的，按照道路客运线路的许可权限办理，并发放客运线路标志牌。</w:t>
            </w:r>
          </w:p>
        </w:tc>
        <w:tc>
          <w:tcPr>
            <w:tcW w:w="105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仿宋" w:hAnsi="仿宋" w:eastAsia="仿宋" w:cs="仿宋"/>
                <w:sz w:val="28"/>
                <w:szCs w:val="28"/>
              </w:rPr>
            </w:pPr>
          </w:p>
        </w:tc>
        <w:tc>
          <w:tcPr>
            <w:tcW w:w="1053" w:type="dxa"/>
            <w:tcBorders>
              <w:top w:val="single" w:color="auto" w:sz="4" w:space="0"/>
              <w:left w:val="single" w:color="000000" w:sz="2" w:space="0"/>
              <w:bottom w:val="single" w:color="auto" w:sz="4"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仿宋" w:hAnsi="仿宋" w:eastAsia="仿宋" w:cs="仿宋"/>
                <w:sz w:val="28"/>
                <w:szCs w:val="28"/>
              </w:rPr>
            </w:pPr>
            <w:r>
              <w:rPr>
                <w:rFonts w:hint="eastAsia" w:ascii="仿宋" w:hAnsi="仿宋" w:eastAsia="仿宋" w:cs="仿宋"/>
                <w:sz w:val="28"/>
                <w:szCs w:val="28"/>
                <w:lang w:eastAsia="zh-CN"/>
              </w:rPr>
              <w:t>保留</w:t>
            </w:r>
          </w:p>
        </w:tc>
        <w:tc>
          <w:tcPr>
            <w:tcW w:w="2174" w:type="dxa"/>
            <w:tcBorders>
              <w:top w:val="single" w:color="auto" w:sz="4" w:space="0"/>
              <w:left w:val="single" w:color="000000" w:sz="2" w:space="0"/>
              <w:bottom w:val="single" w:color="auto" w:sz="4" w:space="0"/>
              <w:right w:val="single" w:color="000000" w:sz="2" w:space="0"/>
            </w:tcBorders>
            <w:vAlign w:val="center"/>
          </w:tcPr>
          <w:p>
            <w:pPr>
              <w:pStyle w:val="3"/>
              <w:widowControl/>
              <w:spacing w:before="0" w:beforeAutospacing="0" w:after="0" w:afterAutospacing="0" w:line="360" w:lineRule="exact"/>
              <w:jc w:val="center"/>
              <w:rPr>
                <w:rFonts w:ascii="仿宋" w:hAnsi="仿宋" w:eastAsia="仿宋" w:cs="仿宋"/>
                <w:sz w:val="28"/>
                <w:szCs w:val="28"/>
              </w:rPr>
            </w:pPr>
            <w:r>
              <w:rPr>
                <w:rFonts w:hint="eastAsia" w:ascii="仿宋" w:hAnsi="仿宋" w:eastAsia="仿宋" w:cs="仿宋"/>
                <w:sz w:val="28"/>
                <w:szCs w:val="28"/>
                <w:lang w:val="en-US" w:eastAsia="zh-CN"/>
              </w:rPr>
              <w:t>否</w:t>
            </w:r>
          </w:p>
        </w:tc>
      </w:tr>
      <w:tr>
        <w:tblPrEx>
          <w:tblCellMar>
            <w:top w:w="15" w:type="dxa"/>
            <w:left w:w="15" w:type="dxa"/>
            <w:bottom w:w="15" w:type="dxa"/>
            <w:right w:w="15" w:type="dxa"/>
          </w:tblCellMar>
        </w:tblPrEx>
        <w:trPr>
          <w:trHeight w:val="5137" w:hRule="atLeast"/>
        </w:trPr>
        <w:tc>
          <w:tcPr>
            <w:tcW w:w="528"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widowControl/>
              <w:spacing w:line="360" w:lineRule="exact"/>
              <w:jc w:val="center"/>
              <w:rPr>
                <w:rFonts w:ascii="仿宋" w:hAnsi="仿宋" w:eastAsia="仿宋" w:cs="仿宋"/>
                <w:sz w:val="28"/>
                <w:szCs w:val="28"/>
              </w:rPr>
            </w:pPr>
          </w:p>
        </w:tc>
        <w:tc>
          <w:tcPr>
            <w:tcW w:w="1913" w:type="dxa"/>
            <w:tcBorders>
              <w:top w:val="single" w:color="auto" w:sz="4" w:space="0"/>
              <w:left w:val="single" w:color="000000" w:sz="2" w:space="0"/>
              <w:bottom w:val="single" w:color="auto" w:sz="4" w:space="0"/>
              <w:right w:val="single" w:color="auto" w:sz="4" w:space="0"/>
            </w:tcBorders>
            <w:tcMar>
              <w:top w:w="0" w:type="dxa"/>
              <w:left w:w="0" w:type="dxa"/>
              <w:bottom w:w="0" w:type="dxa"/>
              <w:right w:w="0" w:type="dxa"/>
            </w:tcMar>
            <w:vAlign w:val="center"/>
          </w:tcPr>
          <w:p>
            <w:pPr>
              <w:widowControl/>
              <w:spacing w:line="360" w:lineRule="exact"/>
              <w:jc w:val="center"/>
              <w:rPr>
                <w:rFonts w:ascii="仿宋_GB2312" w:hAnsi="仿宋_GB2312" w:eastAsia="仿宋_GB2312"/>
                <w:sz w:val="28"/>
                <w:szCs w:val="28"/>
              </w:rPr>
            </w:pPr>
            <w:r>
              <w:rPr>
                <w:rFonts w:hint="eastAsia" w:ascii="仿宋_GB2312" w:hAnsi="仿宋_GB2312" w:eastAsia="仿宋_GB2312"/>
                <w:sz w:val="28"/>
                <w:szCs w:val="28"/>
              </w:rPr>
              <w:t>道路客运企业注销</w:t>
            </w:r>
          </w:p>
        </w:tc>
        <w:tc>
          <w:tcPr>
            <w:tcW w:w="1416" w:type="dxa"/>
            <w:tcBorders>
              <w:top w:val="single" w:color="000000" w:sz="2" w:space="0"/>
              <w:left w:val="single" w:color="auto" w:sz="4" w:space="0"/>
              <w:bottom w:val="single" w:color="000000" w:sz="2" w:space="0"/>
              <w:right w:val="single" w:color="auto" w:sz="4" w:space="0"/>
            </w:tcBorders>
            <w:tcMar>
              <w:top w:w="0" w:type="dxa"/>
              <w:left w:w="0" w:type="dxa"/>
              <w:bottom w:w="0" w:type="dxa"/>
              <w:right w:w="0" w:type="dxa"/>
            </w:tcMar>
            <w:vAlign w:val="center"/>
          </w:tcPr>
          <w:p>
            <w:pPr>
              <w:widowControl/>
              <w:spacing w:line="360" w:lineRule="exact"/>
              <w:ind w:firstLine="280" w:firstLineChars="100"/>
              <w:jc w:val="center"/>
              <w:rPr>
                <w:rFonts w:ascii="仿宋_GB2312" w:hAnsi="仿宋_GB2312" w:eastAsia="仿宋_GB2312"/>
                <w:sz w:val="28"/>
                <w:szCs w:val="28"/>
              </w:rPr>
            </w:pPr>
            <w:r>
              <w:rPr>
                <w:rFonts w:hint="eastAsia" w:ascii="仿宋_GB2312" w:hAnsi="仿宋_GB2312" w:eastAsia="仿宋_GB2312"/>
                <w:sz w:val="28"/>
                <w:szCs w:val="28"/>
              </w:rPr>
              <w:t>行政许可</w:t>
            </w:r>
          </w:p>
        </w:tc>
        <w:tc>
          <w:tcPr>
            <w:tcW w:w="2261" w:type="dxa"/>
            <w:tcBorders>
              <w:top w:val="single" w:color="000000" w:sz="2" w:space="0"/>
              <w:left w:val="single" w:color="auto" w:sz="4" w:space="0"/>
              <w:bottom w:val="single" w:color="000000" w:sz="2" w:space="0"/>
              <w:right w:val="single" w:color="000000" w:sz="2" w:space="0"/>
            </w:tcBorders>
            <w:tcMar>
              <w:top w:w="0" w:type="dxa"/>
              <w:left w:w="0" w:type="dxa"/>
              <w:bottom w:w="0" w:type="dxa"/>
              <w:right w:w="0" w:type="dxa"/>
            </w:tcMar>
            <w:vAlign w:val="center"/>
          </w:tcPr>
          <w:p>
            <w:pPr>
              <w:widowControl/>
              <w:spacing w:line="360" w:lineRule="exact"/>
              <w:rPr>
                <w:rFonts w:ascii="仿宋_GB2312" w:hAnsi="仿宋_GB2312" w:eastAsia="仿宋_GB2312"/>
                <w:sz w:val="28"/>
                <w:szCs w:val="28"/>
              </w:rPr>
            </w:pPr>
            <w:r>
              <w:rPr>
                <w:rFonts w:hint="eastAsia" w:ascii="仿宋_GB2312" w:hAnsi="仿宋_GB2312" w:eastAsia="仿宋_GB2312"/>
                <w:sz w:val="28"/>
                <w:szCs w:val="28"/>
              </w:rPr>
              <w:t>《道路运输经营许可证注销申请表》</w:t>
            </w:r>
          </w:p>
        </w:tc>
        <w:tc>
          <w:tcPr>
            <w:tcW w:w="5736"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仿宋_GB2312" w:hAnsi="仿宋_GB2312" w:eastAsia="仿宋_GB2312"/>
                <w:sz w:val="28"/>
                <w:szCs w:val="28"/>
              </w:rPr>
            </w:pPr>
            <w:r>
              <w:rPr>
                <w:rFonts w:hint="eastAsia" w:ascii="仿宋_GB2312" w:hAnsi="仿宋_GB2312" w:eastAsia="仿宋_GB2312"/>
                <w:sz w:val="21"/>
                <w:szCs w:val="21"/>
              </w:rPr>
              <w:t>《道路运输管理工作规范》第六章、道路旅客运输管理工作规范；第一节、道路旅客运输经营许可；第十条、道路客运（班线）经营许可注销程序</w:t>
            </w:r>
            <w:r>
              <w:rPr>
                <w:rFonts w:ascii="仿宋_GB2312" w:hAnsi="仿宋_GB2312" w:eastAsia="仿宋_GB2312"/>
                <w:sz w:val="21"/>
                <w:szCs w:val="21"/>
              </w:rPr>
              <w:br w:type="textWrapping"/>
            </w:r>
            <w:r>
              <w:rPr>
                <w:rFonts w:hint="eastAsia" w:ascii="仿宋_GB2312" w:hAnsi="仿宋_GB2312" w:eastAsia="仿宋_GB2312"/>
                <w:sz w:val="21"/>
                <w:szCs w:val="21"/>
              </w:rPr>
              <w:t>对道路客运经营者有以下情形之一的，执行道路客运（班线）经营许可注销程序。</w:t>
            </w:r>
            <w:r>
              <w:rPr>
                <w:rFonts w:ascii="仿宋_GB2312" w:hAnsi="仿宋_GB2312" w:eastAsia="仿宋_GB2312"/>
                <w:sz w:val="21"/>
                <w:szCs w:val="21"/>
              </w:rPr>
              <w:br w:type="textWrapping"/>
            </w:r>
            <w:r>
              <w:rPr>
                <w:rFonts w:hint="eastAsia" w:ascii="仿宋_GB2312" w:hAnsi="仿宋_GB2312" w:eastAsia="仿宋_GB2312"/>
                <w:sz w:val="21"/>
                <w:szCs w:val="21"/>
              </w:rPr>
              <w:t>（一）作为自然人的道路客运经营者死亡或者作为法人、其他组织的道路客运经营者依法终止的；</w:t>
            </w:r>
            <w:r>
              <w:rPr>
                <w:rFonts w:ascii="仿宋_GB2312" w:hAnsi="仿宋_GB2312" w:eastAsia="仿宋_GB2312"/>
                <w:sz w:val="21"/>
                <w:szCs w:val="21"/>
              </w:rPr>
              <w:br w:type="textWrapping"/>
            </w:r>
            <w:r>
              <w:rPr>
                <w:rFonts w:hint="eastAsia" w:ascii="仿宋_GB2312" w:hAnsi="仿宋_GB2312" w:eastAsia="仿宋_GB2312"/>
                <w:sz w:val="21"/>
                <w:szCs w:val="21"/>
              </w:rPr>
              <w:t>（二）道路客运班线经营期限届满未申请延续经营或者申请延续经营不予许可的；</w:t>
            </w:r>
            <w:r>
              <w:rPr>
                <w:rFonts w:ascii="仿宋_GB2312" w:hAnsi="仿宋_GB2312" w:eastAsia="仿宋_GB2312"/>
                <w:sz w:val="21"/>
                <w:szCs w:val="21"/>
              </w:rPr>
              <w:br w:type="textWrapping"/>
            </w:r>
            <w:r>
              <w:rPr>
                <w:rFonts w:hint="eastAsia" w:ascii="仿宋_GB2312" w:hAnsi="仿宋_GB2312" w:eastAsia="仿宋_GB2312"/>
                <w:sz w:val="21"/>
                <w:szCs w:val="21"/>
              </w:rPr>
              <w:t>（三）道路运输经营许可依法被撤销、撤回的；</w:t>
            </w:r>
            <w:r>
              <w:rPr>
                <w:rFonts w:ascii="仿宋_GB2312" w:hAnsi="仿宋_GB2312" w:eastAsia="仿宋_GB2312"/>
                <w:sz w:val="21"/>
                <w:szCs w:val="21"/>
              </w:rPr>
              <w:br w:type="textWrapping"/>
            </w:r>
            <w:r>
              <w:rPr>
                <w:rFonts w:hint="eastAsia" w:ascii="仿宋_GB2312" w:hAnsi="仿宋_GB2312" w:eastAsia="仿宋_GB2312"/>
                <w:sz w:val="21"/>
                <w:szCs w:val="21"/>
              </w:rPr>
              <w:t>（四）道路运输经营许可证件依法被吊销的。</w:t>
            </w:r>
            <w:r>
              <w:rPr>
                <w:rFonts w:ascii="仿宋_GB2312" w:hAnsi="仿宋_GB2312" w:eastAsia="仿宋_GB2312"/>
                <w:sz w:val="21"/>
                <w:szCs w:val="21"/>
              </w:rPr>
              <w:br w:type="textWrapping"/>
            </w:r>
            <w:r>
              <w:rPr>
                <w:rFonts w:hint="eastAsia" w:ascii="仿宋_GB2312" w:hAnsi="仿宋_GB2312" w:eastAsia="仿宋_GB2312"/>
                <w:sz w:val="21"/>
                <w:szCs w:val="21"/>
              </w:rPr>
              <w:t>原许可的道路运输管理机构应当在</w:t>
            </w:r>
            <w:r>
              <w:rPr>
                <w:rFonts w:ascii="仿宋_GB2312" w:hAnsi="仿宋_GB2312" w:eastAsia="仿宋_GB2312"/>
                <w:sz w:val="21"/>
                <w:szCs w:val="21"/>
              </w:rPr>
              <w:t>10</w:t>
            </w:r>
            <w:r>
              <w:rPr>
                <w:rFonts w:hint="eastAsia" w:ascii="仿宋_GB2312" w:hAnsi="仿宋_GB2312" w:eastAsia="仿宋_GB2312"/>
                <w:sz w:val="21"/>
                <w:szCs w:val="21"/>
              </w:rPr>
              <w:t>日内收回线路的《道路客运班线经营许可证明》和客运线路标志牌；收回该经营者的《道路运输经营许可证》、相应车辆的《道路运输证》。同时，通过其网站等途径予以公示，无法收回的，还应及时通过其网站等途径予以公布</w:t>
            </w:r>
          </w:p>
        </w:tc>
        <w:tc>
          <w:tcPr>
            <w:tcW w:w="105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仿宋" w:hAnsi="仿宋" w:eastAsia="仿宋" w:cs="仿宋"/>
                <w:sz w:val="28"/>
                <w:szCs w:val="28"/>
              </w:rPr>
            </w:pPr>
          </w:p>
        </w:tc>
        <w:tc>
          <w:tcPr>
            <w:tcW w:w="1053" w:type="dxa"/>
            <w:tcBorders>
              <w:top w:val="single" w:color="auto" w:sz="4" w:space="0"/>
              <w:left w:val="single" w:color="000000" w:sz="2" w:space="0"/>
              <w:bottom w:val="single" w:color="auto" w:sz="4"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仿宋" w:hAnsi="仿宋" w:eastAsia="仿宋" w:cs="仿宋"/>
                <w:sz w:val="28"/>
                <w:szCs w:val="28"/>
              </w:rPr>
            </w:pPr>
            <w:r>
              <w:rPr>
                <w:rFonts w:hint="eastAsia" w:ascii="仿宋" w:hAnsi="仿宋" w:eastAsia="仿宋" w:cs="仿宋"/>
                <w:sz w:val="28"/>
                <w:szCs w:val="28"/>
                <w:lang w:eastAsia="zh-CN"/>
              </w:rPr>
              <w:t>保留</w:t>
            </w:r>
          </w:p>
        </w:tc>
        <w:tc>
          <w:tcPr>
            <w:tcW w:w="2174" w:type="dxa"/>
            <w:tcBorders>
              <w:top w:val="single" w:color="auto" w:sz="4" w:space="0"/>
              <w:left w:val="single" w:color="000000" w:sz="2" w:space="0"/>
              <w:bottom w:val="single" w:color="auto" w:sz="4" w:space="0"/>
              <w:right w:val="single" w:color="000000" w:sz="2" w:space="0"/>
            </w:tcBorders>
            <w:vAlign w:val="center"/>
          </w:tcPr>
          <w:p>
            <w:pPr>
              <w:pStyle w:val="3"/>
              <w:widowControl/>
              <w:spacing w:before="0" w:beforeAutospacing="0" w:after="0" w:afterAutospacing="0" w:line="360" w:lineRule="exact"/>
              <w:jc w:val="center"/>
              <w:rPr>
                <w:rFonts w:ascii="仿宋" w:hAnsi="仿宋" w:eastAsia="仿宋" w:cs="仿宋"/>
                <w:sz w:val="28"/>
                <w:szCs w:val="28"/>
              </w:rPr>
            </w:pPr>
            <w:r>
              <w:rPr>
                <w:rFonts w:hint="eastAsia" w:ascii="仿宋" w:hAnsi="仿宋" w:eastAsia="仿宋" w:cs="仿宋"/>
                <w:sz w:val="28"/>
                <w:szCs w:val="28"/>
                <w:lang w:val="en-US" w:eastAsia="zh-CN"/>
              </w:rPr>
              <w:t>否</w:t>
            </w:r>
          </w:p>
        </w:tc>
      </w:tr>
      <w:tr>
        <w:tblPrEx>
          <w:tblCellMar>
            <w:top w:w="15" w:type="dxa"/>
            <w:left w:w="15" w:type="dxa"/>
            <w:bottom w:w="15" w:type="dxa"/>
            <w:right w:w="15" w:type="dxa"/>
          </w:tblCellMar>
        </w:tblPrEx>
        <w:trPr>
          <w:trHeight w:val="552" w:hRule="atLeast"/>
        </w:trPr>
        <w:tc>
          <w:tcPr>
            <w:tcW w:w="528"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widowControl/>
              <w:spacing w:line="360" w:lineRule="exact"/>
              <w:jc w:val="center"/>
              <w:rPr>
                <w:rFonts w:ascii="仿宋" w:hAnsi="仿宋" w:eastAsia="仿宋" w:cs="仿宋"/>
                <w:sz w:val="28"/>
                <w:szCs w:val="28"/>
              </w:rPr>
            </w:pPr>
          </w:p>
        </w:tc>
        <w:tc>
          <w:tcPr>
            <w:tcW w:w="1913" w:type="dxa"/>
            <w:tcBorders>
              <w:top w:val="single" w:color="auto" w:sz="4" w:space="0"/>
              <w:left w:val="single" w:color="000000" w:sz="2" w:space="0"/>
              <w:bottom w:val="single" w:color="auto" w:sz="4" w:space="0"/>
              <w:right w:val="single" w:color="auto" w:sz="4" w:space="0"/>
            </w:tcBorders>
            <w:tcMar>
              <w:top w:w="0" w:type="dxa"/>
              <w:left w:w="0" w:type="dxa"/>
              <w:bottom w:w="0" w:type="dxa"/>
              <w:right w:w="0" w:type="dxa"/>
            </w:tcMar>
            <w:vAlign w:val="center"/>
          </w:tcPr>
          <w:p>
            <w:pPr>
              <w:widowControl/>
              <w:spacing w:line="360" w:lineRule="exact"/>
              <w:jc w:val="center"/>
              <w:rPr>
                <w:rFonts w:ascii="仿宋_GB2312" w:hAnsi="仿宋_GB2312" w:eastAsia="仿宋_GB2312"/>
                <w:sz w:val="28"/>
                <w:szCs w:val="28"/>
              </w:rPr>
            </w:pPr>
            <w:r>
              <w:rPr>
                <w:rFonts w:hint="eastAsia" w:ascii="仿宋_GB2312" w:hAnsi="仿宋_GB2312" w:eastAsia="仿宋_GB2312"/>
                <w:sz w:val="28"/>
                <w:szCs w:val="28"/>
              </w:rPr>
              <w:t>道路客运班线日发班次变更</w:t>
            </w:r>
          </w:p>
        </w:tc>
        <w:tc>
          <w:tcPr>
            <w:tcW w:w="1416" w:type="dxa"/>
            <w:tcBorders>
              <w:top w:val="single" w:color="000000" w:sz="2" w:space="0"/>
              <w:left w:val="single" w:color="auto" w:sz="4" w:space="0"/>
              <w:bottom w:val="single" w:color="000000" w:sz="2" w:space="0"/>
              <w:right w:val="single" w:color="auto" w:sz="4" w:space="0"/>
            </w:tcBorders>
            <w:tcMar>
              <w:top w:w="0" w:type="dxa"/>
              <w:left w:w="0" w:type="dxa"/>
              <w:bottom w:w="0" w:type="dxa"/>
              <w:right w:w="0" w:type="dxa"/>
            </w:tcMar>
            <w:vAlign w:val="center"/>
          </w:tcPr>
          <w:p>
            <w:pPr>
              <w:widowControl/>
              <w:spacing w:line="360" w:lineRule="exact"/>
              <w:ind w:firstLine="280" w:firstLineChars="100"/>
              <w:jc w:val="center"/>
              <w:rPr>
                <w:rFonts w:ascii="仿宋_GB2312" w:hAnsi="仿宋_GB2312" w:eastAsia="仿宋_GB2312"/>
                <w:sz w:val="28"/>
                <w:szCs w:val="28"/>
              </w:rPr>
            </w:pPr>
            <w:r>
              <w:rPr>
                <w:rFonts w:hint="eastAsia" w:ascii="仿宋_GB2312" w:hAnsi="仿宋_GB2312" w:eastAsia="仿宋_GB2312"/>
                <w:sz w:val="28"/>
                <w:szCs w:val="28"/>
              </w:rPr>
              <w:t>行政许可</w:t>
            </w:r>
          </w:p>
        </w:tc>
        <w:tc>
          <w:tcPr>
            <w:tcW w:w="2261" w:type="dxa"/>
            <w:tcBorders>
              <w:top w:val="single" w:color="000000" w:sz="2" w:space="0"/>
              <w:left w:val="single" w:color="auto" w:sz="4" w:space="0"/>
              <w:bottom w:val="single" w:color="000000" w:sz="2" w:space="0"/>
              <w:right w:val="single" w:color="000000" w:sz="2" w:space="0"/>
            </w:tcBorders>
            <w:tcMar>
              <w:top w:w="0" w:type="dxa"/>
              <w:left w:w="0" w:type="dxa"/>
              <w:bottom w:w="0" w:type="dxa"/>
              <w:right w:w="0" w:type="dxa"/>
            </w:tcMar>
            <w:vAlign w:val="center"/>
          </w:tcPr>
          <w:p>
            <w:pPr>
              <w:widowControl/>
              <w:spacing w:line="360" w:lineRule="exact"/>
              <w:rPr>
                <w:rFonts w:ascii="仿宋_GB2312" w:hAnsi="仿宋_GB2312" w:eastAsia="仿宋_GB2312"/>
                <w:sz w:val="28"/>
                <w:szCs w:val="28"/>
              </w:rPr>
            </w:pPr>
            <w:r>
              <w:rPr>
                <w:rFonts w:hint="eastAsia" w:ascii="仿宋_GB2312" w:hAnsi="仿宋_GB2312" w:eastAsia="仿宋_GB2312"/>
                <w:sz w:val="28"/>
                <w:szCs w:val="28"/>
              </w:rPr>
              <w:t>由当地运管机构组织听证或协调的书面材料</w:t>
            </w:r>
            <w:r>
              <w:rPr>
                <w:rFonts w:ascii="仿宋_GB2312" w:hAnsi="仿宋_GB2312" w:eastAsia="仿宋_GB2312"/>
                <w:sz w:val="28"/>
                <w:szCs w:val="28"/>
              </w:rPr>
              <w:t> </w:t>
            </w:r>
          </w:p>
        </w:tc>
        <w:tc>
          <w:tcPr>
            <w:tcW w:w="5736"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widowControl/>
              <w:spacing w:line="360" w:lineRule="exact"/>
              <w:jc w:val="center"/>
              <w:rPr>
                <w:rFonts w:ascii="仿宋_GB2312" w:hAnsi="仿宋_GB2312" w:eastAsia="仿宋_GB2312"/>
                <w:sz w:val="28"/>
                <w:szCs w:val="28"/>
              </w:rPr>
            </w:pPr>
            <w:r>
              <w:rPr>
                <w:rFonts w:hint="eastAsia" w:ascii="仿宋_GB2312" w:hAnsi="仿宋_GB2312" w:eastAsia="仿宋_GB2312"/>
                <w:sz w:val="28"/>
                <w:szCs w:val="28"/>
              </w:rPr>
              <w:t>道路旅客运输及客运站管理规定第二十八条</w:t>
            </w:r>
          </w:p>
        </w:tc>
        <w:tc>
          <w:tcPr>
            <w:tcW w:w="105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仿宋" w:hAnsi="仿宋" w:eastAsia="仿宋" w:cs="仿宋"/>
                <w:sz w:val="28"/>
                <w:szCs w:val="28"/>
              </w:rPr>
            </w:pPr>
          </w:p>
        </w:tc>
        <w:tc>
          <w:tcPr>
            <w:tcW w:w="1053" w:type="dxa"/>
            <w:tcBorders>
              <w:top w:val="single" w:color="auto" w:sz="4" w:space="0"/>
              <w:left w:val="single" w:color="000000" w:sz="2" w:space="0"/>
              <w:bottom w:val="single" w:color="auto" w:sz="4"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仿宋" w:hAnsi="仿宋" w:eastAsia="仿宋" w:cs="仿宋"/>
                <w:sz w:val="28"/>
                <w:szCs w:val="28"/>
              </w:rPr>
            </w:pPr>
            <w:r>
              <w:rPr>
                <w:rFonts w:hint="eastAsia" w:ascii="仿宋" w:hAnsi="仿宋" w:eastAsia="仿宋" w:cs="仿宋"/>
                <w:sz w:val="28"/>
                <w:szCs w:val="28"/>
                <w:lang w:eastAsia="zh-CN"/>
              </w:rPr>
              <w:t>保留</w:t>
            </w:r>
          </w:p>
        </w:tc>
        <w:tc>
          <w:tcPr>
            <w:tcW w:w="2174" w:type="dxa"/>
            <w:tcBorders>
              <w:top w:val="single" w:color="auto" w:sz="4" w:space="0"/>
              <w:left w:val="single" w:color="000000" w:sz="2" w:space="0"/>
              <w:bottom w:val="single" w:color="auto" w:sz="4" w:space="0"/>
              <w:right w:val="single" w:color="000000" w:sz="2" w:space="0"/>
            </w:tcBorders>
            <w:vAlign w:val="center"/>
          </w:tcPr>
          <w:p>
            <w:pPr>
              <w:pStyle w:val="3"/>
              <w:widowControl/>
              <w:spacing w:before="0" w:beforeAutospacing="0" w:after="0" w:afterAutospacing="0" w:line="360" w:lineRule="exact"/>
              <w:jc w:val="center"/>
              <w:rPr>
                <w:rFonts w:ascii="仿宋" w:hAnsi="仿宋" w:eastAsia="仿宋" w:cs="仿宋"/>
                <w:sz w:val="28"/>
                <w:szCs w:val="28"/>
              </w:rPr>
            </w:pPr>
            <w:r>
              <w:rPr>
                <w:rFonts w:hint="eastAsia" w:ascii="仿宋" w:hAnsi="仿宋" w:eastAsia="仿宋" w:cs="仿宋"/>
                <w:sz w:val="28"/>
                <w:szCs w:val="28"/>
                <w:lang w:val="en-US" w:eastAsia="zh-CN"/>
              </w:rPr>
              <w:t>否</w:t>
            </w:r>
          </w:p>
        </w:tc>
      </w:tr>
      <w:tr>
        <w:tblPrEx>
          <w:tblCellMar>
            <w:top w:w="15" w:type="dxa"/>
            <w:left w:w="15" w:type="dxa"/>
            <w:bottom w:w="15" w:type="dxa"/>
            <w:right w:w="15" w:type="dxa"/>
          </w:tblCellMar>
        </w:tblPrEx>
        <w:trPr>
          <w:trHeight w:val="552" w:hRule="atLeast"/>
        </w:trPr>
        <w:tc>
          <w:tcPr>
            <w:tcW w:w="528"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widowControl/>
              <w:spacing w:line="360" w:lineRule="exact"/>
              <w:jc w:val="center"/>
              <w:rPr>
                <w:rFonts w:ascii="仿宋" w:hAnsi="仿宋" w:eastAsia="仿宋" w:cs="仿宋"/>
                <w:sz w:val="28"/>
                <w:szCs w:val="28"/>
              </w:rPr>
            </w:pPr>
          </w:p>
        </w:tc>
        <w:tc>
          <w:tcPr>
            <w:tcW w:w="1913" w:type="dxa"/>
            <w:tcBorders>
              <w:top w:val="single" w:color="auto" w:sz="4" w:space="0"/>
              <w:left w:val="single" w:color="000000" w:sz="2" w:space="0"/>
              <w:bottom w:val="single" w:color="auto" w:sz="4" w:space="0"/>
              <w:right w:val="single" w:color="auto" w:sz="4" w:space="0"/>
            </w:tcBorders>
            <w:tcMar>
              <w:top w:w="0" w:type="dxa"/>
              <w:left w:w="0" w:type="dxa"/>
              <w:bottom w:w="0" w:type="dxa"/>
              <w:right w:w="0" w:type="dxa"/>
            </w:tcMar>
            <w:vAlign w:val="center"/>
          </w:tcPr>
          <w:p>
            <w:pPr>
              <w:widowControl/>
              <w:spacing w:line="360" w:lineRule="exact"/>
              <w:jc w:val="center"/>
              <w:rPr>
                <w:rFonts w:ascii="仿宋_GB2312" w:hAnsi="仿宋_GB2312" w:eastAsia="仿宋_GB2312"/>
                <w:sz w:val="28"/>
                <w:szCs w:val="28"/>
              </w:rPr>
            </w:pPr>
            <w:r>
              <w:rPr>
                <w:rFonts w:hint="eastAsia" w:ascii="仿宋_GB2312" w:hAnsi="仿宋_GB2312" w:eastAsia="仿宋_GB2312"/>
                <w:sz w:val="28"/>
                <w:szCs w:val="28"/>
              </w:rPr>
              <w:t>道路客运班线主体变更</w:t>
            </w:r>
          </w:p>
        </w:tc>
        <w:tc>
          <w:tcPr>
            <w:tcW w:w="1416" w:type="dxa"/>
            <w:tcBorders>
              <w:top w:val="single" w:color="000000" w:sz="2" w:space="0"/>
              <w:left w:val="single" w:color="auto" w:sz="4" w:space="0"/>
              <w:bottom w:val="single" w:color="000000" w:sz="2" w:space="0"/>
              <w:right w:val="single" w:color="auto" w:sz="4" w:space="0"/>
            </w:tcBorders>
            <w:tcMar>
              <w:top w:w="0" w:type="dxa"/>
              <w:left w:w="0" w:type="dxa"/>
              <w:bottom w:w="0" w:type="dxa"/>
              <w:right w:w="0" w:type="dxa"/>
            </w:tcMar>
            <w:vAlign w:val="center"/>
          </w:tcPr>
          <w:p>
            <w:pPr>
              <w:widowControl/>
              <w:spacing w:line="360" w:lineRule="exact"/>
              <w:ind w:firstLine="280" w:firstLineChars="100"/>
              <w:jc w:val="center"/>
              <w:rPr>
                <w:rFonts w:ascii="仿宋_GB2312" w:hAnsi="仿宋_GB2312" w:eastAsia="仿宋_GB2312"/>
                <w:sz w:val="28"/>
                <w:szCs w:val="28"/>
              </w:rPr>
            </w:pPr>
            <w:r>
              <w:rPr>
                <w:rFonts w:hint="eastAsia" w:ascii="仿宋_GB2312" w:hAnsi="仿宋_GB2312" w:eastAsia="仿宋_GB2312"/>
                <w:sz w:val="28"/>
                <w:szCs w:val="28"/>
              </w:rPr>
              <w:t>行政许可</w:t>
            </w:r>
          </w:p>
        </w:tc>
        <w:tc>
          <w:tcPr>
            <w:tcW w:w="2261" w:type="dxa"/>
            <w:tcBorders>
              <w:top w:val="single" w:color="000000" w:sz="2" w:space="0"/>
              <w:left w:val="single" w:color="auto" w:sz="4" w:space="0"/>
              <w:bottom w:val="single" w:color="000000" w:sz="2" w:space="0"/>
              <w:right w:val="single" w:color="000000" w:sz="2" w:space="0"/>
            </w:tcBorders>
            <w:tcMar>
              <w:top w:w="0" w:type="dxa"/>
              <w:left w:w="0" w:type="dxa"/>
              <w:bottom w:w="0" w:type="dxa"/>
              <w:right w:w="0" w:type="dxa"/>
            </w:tcMar>
            <w:vAlign w:val="center"/>
          </w:tcPr>
          <w:p>
            <w:pPr>
              <w:widowControl/>
              <w:spacing w:line="360" w:lineRule="exact"/>
              <w:rPr>
                <w:rFonts w:ascii="仿宋_GB2312" w:hAnsi="仿宋_GB2312" w:eastAsia="仿宋_GB2312"/>
                <w:sz w:val="28"/>
                <w:szCs w:val="28"/>
              </w:rPr>
            </w:pPr>
            <w:r>
              <w:rPr>
                <w:rFonts w:hint="eastAsia" w:ascii="仿宋_GB2312" w:hAnsi="仿宋_GB2312" w:eastAsia="仿宋_GB2312"/>
                <w:sz w:val="28"/>
                <w:szCs w:val="28"/>
              </w:rPr>
              <w:t>道路客运经营变更备案表</w:t>
            </w:r>
          </w:p>
        </w:tc>
        <w:tc>
          <w:tcPr>
            <w:tcW w:w="5736"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widowControl/>
              <w:spacing w:line="360" w:lineRule="exact"/>
              <w:jc w:val="center"/>
              <w:rPr>
                <w:rFonts w:ascii="仿宋_GB2312" w:hAnsi="仿宋_GB2312" w:eastAsia="仿宋_GB2312"/>
                <w:sz w:val="28"/>
                <w:szCs w:val="28"/>
              </w:rPr>
            </w:pPr>
            <w:r>
              <w:rPr>
                <w:rFonts w:hint="eastAsia" w:ascii="仿宋_GB2312" w:hAnsi="仿宋_GB2312" w:eastAsia="仿宋_GB2312"/>
                <w:sz w:val="28"/>
                <w:szCs w:val="28"/>
              </w:rPr>
              <w:t>道路旅客运输及客运站管理第二十八条</w:t>
            </w:r>
          </w:p>
        </w:tc>
        <w:tc>
          <w:tcPr>
            <w:tcW w:w="105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仿宋" w:hAnsi="仿宋" w:eastAsia="仿宋" w:cs="仿宋"/>
                <w:sz w:val="28"/>
                <w:szCs w:val="28"/>
              </w:rPr>
            </w:pPr>
          </w:p>
        </w:tc>
        <w:tc>
          <w:tcPr>
            <w:tcW w:w="1053" w:type="dxa"/>
            <w:tcBorders>
              <w:top w:val="single" w:color="auto" w:sz="4" w:space="0"/>
              <w:left w:val="single" w:color="000000" w:sz="2" w:space="0"/>
              <w:bottom w:val="single" w:color="auto" w:sz="4"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仿宋" w:hAnsi="仿宋" w:eastAsia="仿宋" w:cs="仿宋"/>
                <w:sz w:val="28"/>
                <w:szCs w:val="28"/>
              </w:rPr>
            </w:pPr>
            <w:r>
              <w:rPr>
                <w:rFonts w:hint="eastAsia" w:ascii="仿宋" w:hAnsi="仿宋" w:eastAsia="仿宋" w:cs="仿宋"/>
                <w:sz w:val="28"/>
                <w:szCs w:val="28"/>
                <w:lang w:eastAsia="zh-CN"/>
              </w:rPr>
              <w:t>保留</w:t>
            </w:r>
          </w:p>
        </w:tc>
        <w:tc>
          <w:tcPr>
            <w:tcW w:w="2174" w:type="dxa"/>
            <w:tcBorders>
              <w:top w:val="single" w:color="auto" w:sz="4" w:space="0"/>
              <w:left w:val="single" w:color="000000" w:sz="2" w:space="0"/>
              <w:bottom w:val="single" w:color="auto" w:sz="4" w:space="0"/>
              <w:right w:val="single" w:color="000000" w:sz="2" w:space="0"/>
            </w:tcBorders>
            <w:vAlign w:val="center"/>
          </w:tcPr>
          <w:p>
            <w:pPr>
              <w:pStyle w:val="3"/>
              <w:widowControl/>
              <w:spacing w:before="0" w:beforeAutospacing="0" w:after="0" w:afterAutospacing="0" w:line="360" w:lineRule="exact"/>
              <w:jc w:val="center"/>
              <w:rPr>
                <w:rFonts w:ascii="仿宋" w:hAnsi="仿宋" w:eastAsia="仿宋" w:cs="仿宋"/>
                <w:sz w:val="28"/>
                <w:szCs w:val="28"/>
              </w:rPr>
            </w:pPr>
            <w:r>
              <w:rPr>
                <w:rFonts w:hint="eastAsia" w:ascii="仿宋" w:hAnsi="仿宋" w:eastAsia="仿宋" w:cs="仿宋"/>
                <w:sz w:val="28"/>
                <w:szCs w:val="28"/>
                <w:lang w:val="en-US" w:eastAsia="zh-CN"/>
              </w:rPr>
              <w:t>否</w:t>
            </w:r>
          </w:p>
        </w:tc>
      </w:tr>
      <w:tr>
        <w:tblPrEx>
          <w:tblCellMar>
            <w:top w:w="15" w:type="dxa"/>
            <w:left w:w="15" w:type="dxa"/>
            <w:bottom w:w="15" w:type="dxa"/>
            <w:right w:w="15" w:type="dxa"/>
          </w:tblCellMar>
        </w:tblPrEx>
        <w:trPr>
          <w:trHeight w:val="552" w:hRule="atLeast"/>
        </w:trPr>
        <w:tc>
          <w:tcPr>
            <w:tcW w:w="528"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widowControl/>
              <w:spacing w:line="360" w:lineRule="exact"/>
              <w:jc w:val="center"/>
              <w:rPr>
                <w:rFonts w:ascii="仿宋" w:hAnsi="仿宋" w:eastAsia="仿宋" w:cs="仿宋"/>
                <w:sz w:val="28"/>
                <w:szCs w:val="28"/>
              </w:rPr>
            </w:pPr>
          </w:p>
        </w:tc>
        <w:tc>
          <w:tcPr>
            <w:tcW w:w="1913" w:type="dxa"/>
            <w:tcBorders>
              <w:top w:val="single" w:color="auto" w:sz="4" w:space="0"/>
              <w:left w:val="single" w:color="000000" w:sz="2" w:space="0"/>
              <w:bottom w:val="single" w:color="auto" w:sz="4" w:space="0"/>
              <w:right w:val="single" w:color="auto" w:sz="4" w:space="0"/>
            </w:tcBorders>
            <w:tcMar>
              <w:top w:w="0" w:type="dxa"/>
              <w:left w:w="0" w:type="dxa"/>
              <w:bottom w:w="0" w:type="dxa"/>
              <w:right w:w="0" w:type="dxa"/>
            </w:tcMar>
            <w:vAlign w:val="center"/>
          </w:tcPr>
          <w:p>
            <w:pPr>
              <w:widowControl/>
              <w:spacing w:line="360" w:lineRule="exact"/>
              <w:jc w:val="center"/>
              <w:rPr>
                <w:rFonts w:ascii="仿宋_GB2312" w:hAnsi="仿宋_GB2312" w:eastAsia="仿宋_GB2312"/>
                <w:sz w:val="28"/>
                <w:szCs w:val="28"/>
              </w:rPr>
            </w:pPr>
            <w:r>
              <w:rPr>
                <w:rFonts w:hint="eastAsia" w:ascii="仿宋_GB2312" w:hAnsi="仿宋_GB2312" w:eastAsia="仿宋_GB2312"/>
                <w:sz w:val="28"/>
                <w:szCs w:val="28"/>
              </w:rPr>
              <w:t>道路客运班线起讫地变更</w:t>
            </w:r>
          </w:p>
        </w:tc>
        <w:tc>
          <w:tcPr>
            <w:tcW w:w="1416" w:type="dxa"/>
            <w:tcBorders>
              <w:top w:val="single" w:color="000000" w:sz="2" w:space="0"/>
              <w:left w:val="single" w:color="auto" w:sz="4" w:space="0"/>
              <w:bottom w:val="single" w:color="000000" w:sz="2" w:space="0"/>
              <w:right w:val="single" w:color="auto" w:sz="4" w:space="0"/>
            </w:tcBorders>
            <w:tcMar>
              <w:top w:w="0" w:type="dxa"/>
              <w:left w:w="0" w:type="dxa"/>
              <w:bottom w:w="0" w:type="dxa"/>
              <w:right w:w="0" w:type="dxa"/>
            </w:tcMar>
            <w:vAlign w:val="center"/>
          </w:tcPr>
          <w:p>
            <w:pPr>
              <w:widowControl/>
              <w:spacing w:line="360" w:lineRule="exact"/>
              <w:ind w:firstLine="280" w:firstLineChars="100"/>
              <w:jc w:val="center"/>
              <w:rPr>
                <w:rFonts w:ascii="仿宋_GB2312" w:hAnsi="仿宋_GB2312" w:eastAsia="仿宋_GB2312"/>
                <w:sz w:val="28"/>
                <w:szCs w:val="28"/>
              </w:rPr>
            </w:pPr>
            <w:r>
              <w:rPr>
                <w:rFonts w:hint="eastAsia" w:ascii="仿宋_GB2312" w:hAnsi="仿宋_GB2312" w:eastAsia="仿宋_GB2312"/>
                <w:sz w:val="28"/>
                <w:szCs w:val="28"/>
              </w:rPr>
              <w:t>行政许可</w:t>
            </w:r>
          </w:p>
        </w:tc>
        <w:tc>
          <w:tcPr>
            <w:tcW w:w="2261" w:type="dxa"/>
            <w:tcBorders>
              <w:top w:val="single" w:color="000000" w:sz="2" w:space="0"/>
              <w:left w:val="single" w:color="auto" w:sz="4" w:space="0"/>
              <w:bottom w:val="single" w:color="000000" w:sz="2" w:space="0"/>
              <w:right w:val="single" w:color="000000" w:sz="2" w:space="0"/>
            </w:tcBorders>
            <w:tcMar>
              <w:top w:w="0" w:type="dxa"/>
              <w:left w:w="0" w:type="dxa"/>
              <w:bottom w:w="0" w:type="dxa"/>
              <w:right w:w="0" w:type="dxa"/>
            </w:tcMar>
            <w:vAlign w:val="center"/>
          </w:tcPr>
          <w:p>
            <w:pPr>
              <w:widowControl/>
              <w:spacing w:line="360" w:lineRule="exact"/>
              <w:rPr>
                <w:rFonts w:ascii="仿宋_GB2312" w:hAnsi="仿宋_GB2312" w:eastAsia="仿宋_GB2312"/>
                <w:sz w:val="28"/>
                <w:szCs w:val="28"/>
              </w:rPr>
            </w:pPr>
            <w:r>
              <w:rPr>
                <w:rFonts w:hint="eastAsia" w:ascii="仿宋_GB2312" w:hAnsi="仿宋_GB2312" w:eastAsia="仿宋_GB2312"/>
                <w:sz w:val="28"/>
                <w:szCs w:val="28"/>
              </w:rPr>
              <w:t>由当地运管机构组织听证或协调的书面材料</w:t>
            </w:r>
          </w:p>
        </w:tc>
        <w:tc>
          <w:tcPr>
            <w:tcW w:w="5736"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widowControl/>
              <w:spacing w:line="360" w:lineRule="exact"/>
              <w:jc w:val="center"/>
              <w:rPr>
                <w:rFonts w:ascii="仿宋_GB2312" w:hAnsi="仿宋_GB2312" w:eastAsia="仿宋_GB2312"/>
                <w:sz w:val="28"/>
                <w:szCs w:val="28"/>
              </w:rPr>
            </w:pPr>
            <w:r>
              <w:rPr>
                <w:rFonts w:hint="eastAsia" w:ascii="仿宋_GB2312" w:hAnsi="仿宋_GB2312" w:eastAsia="仿宋_GB2312"/>
                <w:sz w:val="28"/>
                <w:szCs w:val="28"/>
              </w:rPr>
              <w:t>道路旅客运输及客运站管理规定第七条</w:t>
            </w:r>
          </w:p>
        </w:tc>
        <w:tc>
          <w:tcPr>
            <w:tcW w:w="105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仿宋" w:hAnsi="仿宋" w:eastAsia="仿宋" w:cs="仿宋"/>
                <w:sz w:val="28"/>
                <w:szCs w:val="28"/>
              </w:rPr>
            </w:pPr>
          </w:p>
        </w:tc>
        <w:tc>
          <w:tcPr>
            <w:tcW w:w="1053" w:type="dxa"/>
            <w:tcBorders>
              <w:top w:val="single" w:color="auto" w:sz="4" w:space="0"/>
              <w:left w:val="single" w:color="000000" w:sz="2" w:space="0"/>
              <w:bottom w:val="single" w:color="auto" w:sz="4"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仿宋" w:hAnsi="仿宋" w:eastAsia="仿宋" w:cs="仿宋"/>
                <w:sz w:val="28"/>
                <w:szCs w:val="28"/>
              </w:rPr>
            </w:pPr>
            <w:r>
              <w:rPr>
                <w:rFonts w:hint="eastAsia" w:ascii="仿宋" w:hAnsi="仿宋" w:eastAsia="仿宋" w:cs="仿宋"/>
                <w:sz w:val="28"/>
                <w:szCs w:val="28"/>
                <w:lang w:eastAsia="zh-CN"/>
              </w:rPr>
              <w:t>保留</w:t>
            </w:r>
          </w:p>
        </w:tc>
        <w:tc>
          <w:tcPr>
            <w:tcW w:w="2174" w:type="dxa"/>
            <w:tcBorders>
              <w:top w:val="single" w:color="auto" w:sz="4" w:space="0"/>
              <w:left w:val="single" w:color="000000" w:sz="2" w:space="0"/>
              <w:bottom w:val="single" w:color="auto" w:sz="4" w:space="0"/>
              <w:right w:val="single" w:color="000000" w:sz="2" w:space="0"/>
            </w:tcBorders>
            <w:vAlign w:val="center"/>
          </w:tcPr>
          <w:p>
            <w:pPr>
              <w:pStyle w:val="3"/>
              <w:widowControl/>
              <w:spacing w:before="0" w:beforeAutospacing="0" w:after="0" w:afterAutospacing="0" w:line="360" w:lineRule="exact"/>
              <w:jc w:val="center"/>
              <w:rPr>
                <w:rFonts w:ascii="仿宋" w:hAnsi="仿宋" w:eastAsia="仿宋" w:cs="仿宋"/>
                <w:sz w:val="28"/>
                <w:szCs w:val="28"/>
              </w:rPr>
            </w:pPr>
            <w:r>
              <w:rPr>
                <w:rFonts w:hint="eastAsia" w:ascii="仿宋" w:hAnsi="仿宋" w:eastAsia="仿宋" w:cs="仿宋"/>
                <w:sz w:val="28"/>
                <w:szCs w:val="28"/>
                <w:lang w:val="en-US" w:eastAsia="zh-CN"/>
              </w:rPr>
              <w:t>否</w:t>
            </w:r>
          </w:p>
        </w:tc>
      </w:tr>
      <w:tr>
        <w:tblPrEx>
          <w:tblCellMar>
            <w:top w:w="15" w:type="dxa"/>
            <w:left w:w="15" w:type="dxa"/>
            <w:bottom w:w="15" w:type="dxa"/>
            <w:right w:w="15" w:type="dxa"/>
          </w:tblCellMar>
        </w:tblPrEx>
        <w:trPr>
          <w:trHeight w:val="8190" w:hRule="atLeast"/>
        </w:trPr>
        <w:tc>
          <w:tcPr>
            <w:tcW w:w="528"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widowControl/>
              <w:spacing w:line="360" w:lineRule="exact"/>
              <w:jc w:val="center"/>
              <w:rPr>
                <w:rFonts w:ascii="仿宋" w:hAnsi="仿宋" w:eastAsia="仿宋" w:cs="仿宋"/>
                <w:sz w:val="28"/>
                <w:szCs w:val="28"/>
              </w:rPr>
            </w:pPr>
          </w:p>
        </w:tc>
        <w:tc>
          <w:tcPr>
            <w:tcW w:w="1913" w:type="dxa"/>
            <w:tcBorders>
              <w:top w:val="single" w:color="auto" w:sz="4" w:space="0"/>
              <w:left w:val="single" w:color="000000" w:sz="2" w:space="0"/>
              <w:bottom w:val="single" w:color="auto" w:sz="4" w:space="0"/>
              <w:right w:val="single" w:color="auto" w:sz="4" w:space="0"/>
            </w:tcBorders>
            <w:tcMar>
              <w:top w:w="0" w:type="dxa"/>
              <w:left w:w="0" w:type="dxa"/>
              <w:bottom w:w="0" w:type="dxa"/>
              <w:right w:w="0" w:type="dxa"/>
            </w:tcMar>
            <w:vAlign w:val="center"/>
          </w:tcPr>
          <w:p>
            <w:pPr>
              <w:widowControl/>
              <w:spacing w:line="360" w:lineRule="exact"/>
              <w:jc w:val="center"/>
              <w:rPr>
                <w:rFonts w:ascii="仿宋_GB2312" w:hAnsi="仿宋_GB2312" w:eastAsia="仿宋_GB2312"/>
                <w:sz w:val="28"/>
                <w:szCs w:val="28"/>
              </w:rPr>
            </w:pPr>
            <w:r>
              <w:rPr>
                <w:rFonts w:hint="eastAsia" w:ascii="仿宋_GB2312" w:hAnsi="仿宋_GB2312" w:eastAsia="仿宋_GB2312"/>
                <w:sz w:val="28"/>
                <w:szCs w:val="28"/>
              </w:rPr>
              <w:t>道路客运企业成立</w:t>
            </w:r>
          </w:p>
        </w:tc>
        <w:tc>
          <w:tcPr>
            <w:tcW w:w="1416" w:type="dxa"/>
            <w:tcBorders>
              <w:top w:val="single" w:color="000000" w:sz="2" w:space="0"/>
              <w:left w:val="single" w:color="auto" w:sz="4" w:space="0"/>
              <w:bottom w:val="single" w:color="000000" w:sz="2" w:space="0"/>
              <w:right w:val="single" w:color="auto" w:sz="4" w:space="0"/>
            </w:tcBorders>
            <w:tcMar>
              <w:top w:w="0" w:type="dxa"/>
              <w:left w:w="0" w:type="dxa"/>
              <w:bottom w:w="0" w:type="dxa"/>
              <w:right w:w="0" w:type="dxa"/>
            </w:tcMar>
            <w:vAlign w:val="center"/>
          </w:tcPr>
          <w:p>
            <w:pPr>
              <w:widowControl/>
              <w:spacing w:line="360" w:lineRule="exact"/>
              <w:ind w:firstLine="280" w:firstLineChars="100"/>
              <w:jc w:val="center"/>
              <w:rPr>
                <w:rFonts w:ascii="仿宋_GB2312" w:hAnsi="仿宋_GB2312" w:eastAsia="仿宋_GB2312"/>
                <w:sz w:val="28"/>
                <w:szCs w:val="28"/>
              </w:rPr>
            </w:pPr>
            <w:r>
              <w:rPr>
                <w:rFonts w:hint="eastAsia" w:ascii="仿宋_GB2312" w:hAnsi="仿宋_GB2312" w:eastAsia="仿宋_GB2312"/>
                <w:sz w:val="28"/>
                <w:szCs w:val="28"/>
              </w:rPr>
              <w:t>行政许可</w:t>
            </w:r>
          </w:p>
        </w:tc>
        <w:tc>
          <w:tcPr>
            <w:tcW w:w="2261" w:type="dxa"/>
            <w:tcBorders>
              <w:top w:val="single" w:color="000000" w:sz="2" w:space="0"/>
              <w:left w:val="single" w:color="auto" w:sz="4" w:space="0"/>
              <w:bottom w:val="single" w:color="000000" w:sz="2" w:space="0"/>
              <w:right w:val="single" w:color="000000" w:sz="2" w:space="0"/>
            </w:tcBorders>
            <w:tcMar>
              <w:top w:w="0" w:type="dxa"/>
              <w:left w:w="0" w:type="dxa"/>
              <w:bottom w:w="0" w:type="dxa"/>
              <w:right w:w="0" w:type="dxa"/>
            </w:tcMar>
            <w:vAlign w:val="center"/>
          </w:tcPr>
          <w:p>
            <w:pPr>
              <w:widowControl/>
              <w:spacing w:line="360" w:lineRule="exact"/>
              <w:rPr>
                <w:rFonts w:ascii="仿宋_GB2312" w:hAnsi="仿宋_GB2312" w:eastAsia="仿宋_GB2312"/>
                <w:sz w:val="28"/>
                <w:szCs w:val="28"/>
              </w:rPr>
            </w:pPr>
            <w:r>
              <w:rPr>
                <w:rFonts w:hint="eastAsia" w:ascii="仿宋_GB2312" w:hAnsi="仿宋_GB2312" w:eastAsia="仿宋_GB2312"/>
                <w:sz w:val="28"/>
                <w:szCs w:val="28"/>
              </w:rPr>
              <w:t>道路旅客运输经营申请表</w:t>
            </w:r>
          </w:p>
        </w:tc>
        <w:tc>
          <w:tcPr>
            <w:tcW w:w="5736"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仿宋_GB2312" w:hAnsi="仿宋_GB2312" w:eastAsia="仿宋_GB2312"/>
                <w:sz w:val="28"/>
                <w:szCs w:val="28"/>
              </w:rPr>
            </w:pPr>
            <w:r>
              <w:rPr>
                <w:rFonts w:hint="eastAsia" w:ascii="仿宋_GB2312" w:hAnsi="仿宋_GB2312" w:eastAsia="仿宋_GB2312"/>
                <w:w w:val="100"/>
                <w:sz w:val="21"/>
                <w:szCs w:val="21"/>
              </w:rPr>
              <w:t>交通运输部《道路旅客运输及客运站管理规定》（交通运输部令</w:t>
            </w:r>
            <w:r>
              <w:rPr>
                <w:rFonts w:ascii="仿宋_GB2312" w:hAnsi="仿宋_GB2312" w:eastAsia="仿宋_GB2312"/>
                <w:w w:val="100"/>
                <w:sz w:val="21"/>
                <w:szCs w:val="21"/>
              </w:rPr>
              <w:t>2016</w:t>
            </w:r>
            <w:r>
              <w:rPr>
                <w:rFonts w:hint="eastAsia" w:ascii="仿宋_GB2312" w:hAnsi="仿宋_GB2312" w:eastAsia="仿宋_GB2312"/>
                <w:w w:val="100"/>
                <w:sz w:val="21"/>
                <w:szCs w:val="21"/>
              </w:rPr>
              <w:t>年第</w:t>
            </w:r>
            <w:r>
              <w:rPr>
                <w:rFonts w:ascii="仿宋_GB2312" w:hAnsi="仿宋_GB2312" w:eastAsia="仿宋_GB2312"/>
                <w:w w:val="100"/>
                <w:sz w:val="21"/>
                <w:szCs w:val="21"/>
              </w:rPr>
              <w:t>82</w:t>
            </w:r>
            <w:r>
              <w:rPr>
                <w:rFonts w:hint="eastAsia" w:ascii="仿宋_GB2312" w:hAnsi="仿宋_GB2312" w:eastAsia="仿宋_GB2312"/>
                <w:w w:val="100"/>
                <w:sz w:val="21"/>
                <w:szCs w:val="21"/>
              </w:rPr>
              <w:t>号）第十四条　申请从事道路客运经营的，应当提供下列材料：</w:t>
            </w:r>
            <w:r>
              <w:rPr>
                <w:rFonts w:ascii="仿宋_GB2312" w:hAnsi="仿宋_GB2312" w:eastAsia="仿宋_GB2312"/>
                <w:w w:val="100"/>
                <w:sz w:val="21"/>
                <w:szCs w:val="21"/>
              </w:rPr>
              <w:br w:type="textWrapping"/>
            </w:r>
            <w:r>
              <w:rPr>
                <w:rFonts w:hint="eastAsia" w:ascii="仿宋_GB2312" w:hAnsi="仿宋_GB2312" w:eastAsia="仿宋_GB2312"/>
                <w:w w:val="100"/>
                <w:sz w:val="21"/>
                <w:szCs w:val="21"/>
              </w:rPr>
              <w:t>　　（一）申请开业的相关材料：</w:t>
            </w:r>
            <w:r>
              <w:rPr>
                <w:rFonts w:ascii="仿宋_GB2312" w:hAnsi="仿宋_GB2312" w:eastAsia="仿宋_GB2312"/>
                <w:w w:val="100"/>
                <w:sz w:val="21"/>
                <w:szCs w:val="21"/>
              </w:rPr>
              <w:br w:type="textWrapping"/>
            </w:r>
            <w:r>
              <w:rPr>
                <w:rFonts w:hint="eastAsia" w:ascii="仿宋_GB2312" w:hAnsi="仿宋_GB2312" w:eastAsia="仿宋_GB2312"/>
                <w:w w:val="100"/>
                <w:sz w:val="21"/>
                <w:szCs w:val="21"/>
              </w:rPr>
              <w:t>　　</w:t>
            </w:r>
            <w:r>
              <w:rPr>
                <w:rFonts w:ascii="仿宋_GB2312" w:hAnsi="仿宋_GB2312" w:eastAsia="仿宋_GB2312"/>
                <w:w w:val="100"/>
                <w:sz w:val="21"/>
                <w:szCs w:val="21"/>
              </w:rPr>
              <w:t>1</w:t>
            </w:r>
            <w:r>
              <w:rPr>
                <w:rFonts w:hint="eastAsia" w:ascii="仿宋_GB2312" w:hAnsi="仿宋_GB2312" w:eastAsia="仿宋_GB2312"/>
                <w:w w:val="100"/>
                <w:sz w:val="21"/>
                <w:szCs w:val="21"/>
              </w:rPr>
              <w:t>．《道路旅客运输经营申请表》（见附件</w:t>
            </w:r>
            <w:r>
              <w:rPr>
                <w:rFonts w:ascii="仿宋_GB2312" w:hAnsi="仿宋_GB2312" w:eastAsia="仿宋_GB2312"/>
                <w:w w:val="100"/>
                <w:sz w:val="21"/>
                <w:szCs w:val="21"/>
              </w:rPr>
              <w:t>1</w:t>
            </w:r>
            <w:r>
              <w:rPr>
                <w:rFonts w:hint="eastAsia" w:ascii="仿宋_GB2312" w:hAnsi="仿宋_GB2312" w:eastAsia="仿宋_GB2312"/>
                <w:w w:val="100"/>
                <w:sz w:val="21"/>
                <w:szCs w:val="21"/>
              </w:rPr>
              <w:t>）；</w:t>
            </w:r>
            <w:r>
              <w:rPr>
                <w:rFonts w:ascii="仿宋_GB2312" w:hAnsi="仿宋_GB2312" w:eastAsia="仿宋_GB2312"/>
                <w:w w:val="100"/>
                <w:sz w:val="21"/>
                <w:szCs w:val="21"/>
              </w:rPr>
              <w:br w:type="textWrapping"/>
            </w:r>
            <w:r>
              <w:rPr>
                <w:rFonts w:hint="eastAsia" w:ascii="仿宋_GB2312" w:hAnsi="仿宋_GB2312" w:eastAsia="仿宋_GB2312"/>
                <w:w w:val="100"/>
                <w:sz w:val="21"/>
                <w:szCs w:val="21"/>
              </w:rPr>
              <w:t>　　</w:t>
            </w:r>
            <w:r>
              <w:rPr>
                <w:rFonts w:ascii="仿宋_GB2312" w:hAnsi="仿宋_GB2312" w:eastAsia="仿宋_GB2312"/>
                <w:w w:val="100"/>
                <w:sz w:val="21"/>
                <w:szCs w:val="21"/>
              </w:rPr>
              <w:t>2</w:t>
            </w:r>
            <w:r>
              <w:rPr>
                <w:rFonts w:hint="eastAsia" w:ascii="仿宋_GB2312" w:hAnsi="仿宋_GB2312" w:eastAsia="仿宋_GB2312"/>
                <w:w w:val="100"/>
                <w:sz w:val="21"/>
                <w:szCs w:val="21"/>
              </w:rPr>
              <w:t>．企业章程文本；</w:t>
            </w:r>
            <w:r>
              <w:rPr>
                <w:rFonts w:ascii="仿宋_GB2312" w:hAnsi="仿宋_GB2312" w:eastAsia="仿宋_GB2312"/>
                <w:w w:val="100"/>
                <w:sz w:val="21"/>
                <w:szCs w:val="21"/>
              </w:rPr>
              <w:br w:type="textWrapping"/>
            </w:r>
            <w:r>
              <w:rPr>
                <w:rFonts w:hint="eastAsia" w:ascii="仿宋_GB2312" w:hAnsi="仿宋_GB2312" w:eastAsia="仿宋_GB2312"/>
                <w:w w:val="100"/>
                <w:sz w:val="21"/>
                <w:szCs w:val="21"/>
              </w:rPr>
              <w:t>　　</w:t>
            </w:r>
            <w:r>
              <w:rPr>
                <w:rFonts w:ascii="仿宋_GB2312" w:hAnsi="仿宋_GB2312" w:eastAsia="仿宋_GB2312"/>
                <w:w w:val="100"/>
                <w:sz w:val="21"/>
                <w:szCs w:val="21"/>
              </w:rPr>
              <w:t>3</w:t>
            </w:r>
            <w:r>
              <w:rPr>
                <w:rFonts w:hint="eastAsia" w:ascii="仿宋_GB2312" w:hAnsi="仿宋_GB2312" w:eastAsia="仿宋_GB2312"/>
                <w:w w:val="100"/>
                <w:sz w:val="21"/>
                <w:szCs w:val="21"/>
              </w:rPr>
              <w:t>．投资人、负责人身份证明及其复印件，经办人的身份证明及其复印件和委托书；</w:t>
            </w:r>
            <w:r>
              <w:rPr>
                <w:rFonts w:ascii="仿宋_GB2312" w:hAnsi="仿宋_GB2312" w:eastAsia="仿宋_GB2312"/>
                <w:w w:val="100"/>
                <w:sz w:val="21"/>
                <w:szCs w:val="21"/>
              </w:rPr>
              <w:br w:type="textWrapping"/>
            </w:r>
            <w:r>
              <w:rPr>
                <w:rFonts w:hint="eastAsia" w:ascii="仿宋_GB2312" w:hAnsi="仿宋_GB2312" w:eastAsia="仿宋_GB2312"/>
                <w:w w:val="100"/>
                <w:sz w:val="21"/>
                <w:szCs w:val="21"/>
              </w:rPr>
              <w:t>　　</w:t>
            </w:r>
            <w:r>
              <w:rPr>
                <w:rFonts w:ascii="仿宋_GB2312" w:hAnsi="仿宋_GB2312" w:eastAsia="仿宋_GB2312"/>
                <w:w w:val="100"/>
                <w:sz w:val="21"/>
                <w:szCs w:val="21"/>
              </w:rPr>
              <w:t>4</w:t>
            </w:r>
            <w:r>
              <w:rPr>
                <w:rFonts w:hint="eastAsia" w:ascii="仿宋_GB2312" w:hAnsi="仿宋_GB2312" w:eastAsia="仿宋_GB2312"/>
                <w:w w:val="100"/>
                <w:sz w:val="21"/>
                <w:szCs w:val="21"/>
              </w:rPr>
              <w:t>．安全生产管理制度文本；</w:t>
            </w:r>
            <w:r>
              <w:rPr>
                <w:rFonts w:ascii="仿宋_GB2312" w:hAnsi="仿宋_GB2312" w:eastAsia="仿宋_GB2312"/>
                <w:w w:val="100"/>
                <w:sz w:val="21"/>
                <w:szCs w:val="21"/>
              </w:rPr>
              <w:br w:type="textWrapping"/>
            </w:r>
            <w:r>
              <w:rPr>
                <w:rFonts w:hint="eastAsia" w:ascii="仿宋_GB2312" w:hAnsi="仿宋_GB2312" w:eastAsia="仿宋_GB2312"/>
                <w:w w:val="100"/>
                <w:sz w:val="21"/>
                <w:szCs w:val="21"/>
              </w:rPr>
              <w:t>　　</w:t>
            </w:r>
            <w:r>
              <w:rPr>
                <w:rFonts w:ascii="仿宋_GB2312" w:hAnsi="仿宋_GB2312" w:eastAsia="仿宋_GB2312"/>
                <w:w w:val="100"/>
                <w:sz w:val="21"/>
                <w:szCs w:val="21"/>
              </w:rPr>
              <w:t>5</w:t>
            </w:r>
            <w:r>
              <w:rPr>
                <w:rFonts w:hint="eastAsia" w:ascii="仿宋_GB2312" w:hAnsi="仿宋_GB2312" w:eastAsia="仿宋_GB2312"/>
                <w:w w:val="100"/>
                <w:sz w:val="21"/>
                <w:szCs w:val="21"/>
              </w:rPr>
              <w:t>．拟投入车辆承诺书，包括客车数量、类型及等级、技术等级、座位数以及客车外廓长、宽、高等。如果拟投入客车属于已购置或者现有的，应当提供行驶证、车辆技术等级评定结论、客车类型等级评定证明及其复印件；</w:t>
            </w:r>
            <w:r>
              <w:rPr>
                <w:rFonts w:ascii="仿宋_GB2312" w:hAnsi="仿宋_GB2312" w:eastAsia="仿宋_GB2312"/>
                <w:w w:val="100"/>
                <w:sz w:val="21"/>
                <w:szCs w:val="21"/>
              </w:rPr>
              <w:br w:type="textWrapping"/>
            </w:r>
            <w:r>
              <w:rPr>
                <w:rFonts w:hint="eastAsia" w:ascii="仿宋_GB2312" w:hAnsi="仿宋_GB2312" w:eastAsia="仿宋_GB2312"/>
                <w:w w:val="100"/>
                <w:sz w:val="21"/>
                <w:szCs w:val="21"/>
              </w:rPr>
              <w:t>　　</w:t>
            </w:r>
            <w:r>
              <w:rPr>
                <w:rFonts w:ascii="仿宋_GB2312" w:hAnsi="仿宋_GB2312" w:eastAsia="仿宋_GB2312"/>
                <w:w w:val="100"/>
                <w:sz w:val="21"/>
                <w:szCs w:val="21"/>
              </w:rPr>
              <w:t>6</w:t>
            </w:r>
            <w:r>
              <w:rPr>
                <w:rFonts w:hint="eastAsia" w:ascii="仿宋_GB2312" w:hAnsi="仿宋_GB2312" w:eastAsia="仿宋_GB2312"/>
                <w:w w:val="100"/>
                <w:sz w:val="21"/>
                <w:szCs w:val="21"/>
              </w:rPr>
              <w:t>．已聘用或者拟聘用驾驶人员的驾驶证和从业资格证及其复印件，公安部门出具的</w:t>
            </w:r>
            <w:r>
              <w:rPr>
                <w:rFonts w:ascii="仿宋_GB2312" w:hAnsi="仿宋_GB2312" w:eastAsia="仿宋_GB2312"/>
                <w:w w:val="100"/>
                <w:sz w:val="21"/>
                <w:szCs w:val="21"/>
              </w:rPr>
              <w:t>3</w:t>
            </w:r>
            <w:r>
              <w:rPr>
                <w:rFonts w:hint="eastAsia" w:ascii="仿宋_GB2312" w:hAnsi="仿宋_GB2312" w:eastAsia="仿宋_GB2312"/>
                <w:w w:val="100"/>
                <w:sz w:val="21"/>
                <w:szCs w:val="21"/>
              </w:rPr>
              <w:t>年内无重大以上交通责任事故的证明。</w:t>
            </w:r>
            <w:r>
              <w:rPr>
                <w:rFonts w:ascii="仿宋_GB2312" w:hAnsi="仿宋_GB2312" w:eastAsia="仿宋_GB2312"/>
                <w:w w:val="100"/>
                <w:sz w:val="21"/>
                <w:szCs w:val="21"/>
              </w:rPr>
              <w:br w:type="textWrapping"/>
            </w:r>
            <w:r>
              <w:rPr>
                <w:rFonts w:hint="eastAsia" w:ascii="仿宋_GB2312" w:hAnsi="仿宋_GB2312" w:eastAsia="仿宋_GB2312"/>
                <w:w w:val="100"/>
                <w:sz w:val="21"/>
                <w:szCs w:val="21"/>
              </w:rPr>
              <w:t>　　（二）同时申请道路客运班线经营的，还应当提供下列材料：</w:t>
            </w:r>
            <w:r>
              <w:rPr>
                <w:rFonts w:ascii="仿宋_GB2312" w:hAnsi="仿宋_GB2312" w:eastAsia="仿宋_GB2312"/>
                <w:w w:val="100"/>
                <w:sz w:val="21"/>
                <w:szCs w:val="21"/>
              </w:rPr>
              <w:br w:type="textWrapping"/>
            </w:r>
            <w:r>
              <w:rPr>
                <w:rFonts w:hint="eastAsia" w:ascii="仿宋_GB2312" w:hAnsi="仿宋_GB2312" w:eastAsia="仿宋_GB2312"/>
                <w:w w:val="100"/>
                <w:sz w:val="21"/>
                <w:szCs w:val="21"/>
              </w:rPr>
              <w:t>　　</w:t>
            </w:r>
            <w:r>
              <w:rPr>
                <w:rFonts w:ascii="仿宋_GB2312" w:hAnsi="仿宋_GB2312" w:eastAsia="仿宋_GB2312"/>
                <w:w w:val="100"/>
                <w:sz w:val="21"/>
                <w:szCs w:val="21"/>
              </w:rPr>
              <w:t>1</w:t>
            </w:r>
            <w:r>
              <w:rPr>
                <w:rFonts w:hint="eastAsia" w:ascii="仿宋_GB2312" w:hAnsi="仿宋_GB2312" w:eastAsia="仿宋_GB2312"/>
                <w:w w:val="100"/>
                <w:sz w:val="21"/>
                <w:szCs w:val="21"/>
              </w:rPr>
              <w:t>．《道路旅客运输班线经营申请表》（见附件</w:t>
            </w:r>
            <w:r>
              <w:rPr>
                <w:rFonts w:ascii="仿宋_GB2312" w:hAnsi="仿宋_GB2312" w:eastAsia="仿宋_GB2312"/>
                <w:w w:val="100"/>
                <w:sz w:val="21"/>
                <w:szCs w:val="21"/>
              </w:rPr>
              <w:t>2</w:t>
            </w:r>
            <w:r>
              <w:rPr>
                <w:rFonts w:hint="eastAsia" w:ascii="仿宋_GB2312" w:hAnsi="仿宋_GB2312" w:eastAsia="仿宋_GB2312"/>
                <w:w w:val="100"/>
                <w:sz w:val="21"/>
                <w:szCs w:val="21"/>
              </w:rPr>
              <w:t>）；</w:t>
            </w:r>
            <w:r>
              <w:rPr>
                <w:rFonts w:ascii="仿宋_GB2312" w:hAnsi="仿宋_GB2312" w:eastAsia="仿宋_GB2312"/>
                <w:w w:val="100"/>
                <w:sz w:val="21"/>
                <w:szCs w:val="21"/>
              </w:rPr>
              <w:br w:type="textWrapping"/>
            </w:r>
            <w:r>
              <w:rPr>
                <w:rFonts w:hint="eastAsia" w:ascii="仿宋_GB2312" w:hAnsi="仿宋_GB2312" w:eastAsia="仿宋_GB2312"/>
                <w:w w:val="100"/>
                <w:sz w:val="21"/>
                <w:szCs w:val="21"/>
              </w:rPr>
              <w:t>　　</w:t>
            </w:r>
            <w:r>
              <w:rPr>
                <w:rFonts w:ascii="仿宋_GB2312" w:hAnsi="仿宋_GB2312" w:eastAsia="仿宋_GB2312"/>
                <w:w w:val="100"/>
                <w:sz w:val="21"/>
                <w:szCs w:val="21"/>
              </w:rPr>
              <w:t>2</w:t>
            </w:r>
            <w:r>
              <w:rPr>
                <w:rFonts w:hint="eastAsia" w:ascii="仿宋_GB2312" w:hAnsi="仿宋_GB2312" w:eastAsia="仿宋_GB2312"/>
                <w:w w:val="100"/>
                <w:sz w:val="21"/>
                <w:szCs w:val="21"/>
              </w:rPr>
              <w:t>．可行性报告，包括申请客运班线客流状况调查、运营方案、效益分析以及可能对其他相关经营者产生的影响等；</w:t>
            </w:r>
            <w:r>
              <w:rPr>
                <w:rFonts w:ascii="仿宋_GB2312" w:hAnsi="仿宋_GB2312" w:eastAsia="仿宋_GB2312"/>
                <w:w w:val="100"/>
                <w:sz w:val="21"/>
                <w:szCs w:val="21"/>
              </w:rPr>
              <w:br w:type="textWrapping"/>
            </w:r>
            <w:r>
              <w:rPr>
                <w:rFonts w:hint="eastAsia" w:ascii="仿宋_GB2312" w:hAnsi="仿宋_GB2312" w:eastAsia="仿宋_GB2312"/>
                <w:w w:val="100"/>
                <w:sz w:val="21"/>
                <w:szCs w:val="21"/>
              </w:rPr>
              <w:t>　　</w:t>
            </w:r>
            <w:r>
              <w:rPr>
                <w:rFonts w:ascii="仿宋_GB2312" w:hAnsi="仿宋_GB2312" w:eastAsia="仿宋_GB2312"/>
                <w:w w:val="100"/>
                <w:sz w:val="21"/>
                <w:szCs w:val="21"/>
              </w:rPr>
              <w:t>3</w:t>
            </w:r>
            <w:r>
              <w:rPr>
                <w:rFonts w:hint="eastAsia" w:ascii="仿宋_GB2312" w:hAnsi="仿宋_GB2312" w:eastAsia="仿宋_GB2312"/>
                <w:w w:val="100"/>
                <w:sz w:val="21"/>
                <w:szCs w:val="21"/>
              </w:rPr>
              <w:t>．进站方案。已与起讫点客运站和停靠站签订进站意向书的，应当提供进站意向书；</w:t>
            </w:r>
            <w:r>
              <w:rPr>
                <w:rFonts w:ascii="仿宋_GB2312" w:hAnsi="仿宋_GB2312" w:eastAsia="仿宋_GB2312"/>
                <w:w w:val="100"/>
                <w:sz w:val="21"/>
                <w:szCs w:val="21"/>
              </w:rPr>
              <w:br w:type="textWrapping"/>
            </w:r>
            <w:r>
              <w:rPr>
                <w:rFonts w:hint="eastAsia" w:ascii="仿宋_GB2312" w:hAnsi="仿宋_GB2312" w:eastAsia="仿宋_GB2312"/>
                <w:w w:val="100"/>
                <w:sz w:val="21"/>
                <w:szCs w:val="21"/>
              </w:rPr>
              <w:t>　　</w:t>
            </w:r>
            <w:r>
              <w:rPr>
                <w:rFonts w:ascii="仿宋_GB2312" w:hAnsi="仿宋_GB2312" w:eastAsia="仿宋_GB2312"/>
                <w:w w:val="100"/>
                <w:sz w:val="21"/>
                <w:szCs w:val="21"/>
              </w:rPr>
              <w:t>4</w:t>
            </w:r>
            <w:r>
              <w:rPr>
                <w:rFonts w:hint="eastAsia" w:ascii="仿宋_GB2312" w:hAnsi="仿宋_GB2312" w:eastAsia="仿宋_GB2312"/>
                <w:w w:val="100"/>
                <w:sz w:val="21"/>
                <w:szCs w:val="21"/>
              </w:rPr>
              <w:t>．运输服务质量承诺书。</w:t>
            </w:r>
          </w:p>
        </w:tc>
        <w:tc>
          <w:tcPr>
            <w:tcW w:w="105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仿宋" w:hAnsi="仿宋" w:eastAsia="仿宋" w:cs="仿宋"/>
                <w:sz w:val="28"/>
                <w:szCs w:val="28"/>
              </w:rPr>
            </w:pPr>
          </w:p>
        </w:tc>
        <w:tc>
          <w:tcPr>
            <w:tcW w:w="1053" w:type="dxa"/>
            <w:tcBorders>
              <w:top w:val="single" w:color="auto" w:sz="4" w:space="0"/>
              <w:left w:val="single" w:color="000000" w:sz="2" w:space="0"/>
              <w:bottom w:val="single" w:color="auto" w:sz="4"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仿宋" w:hAnsi="仿宋" w:eastAsia="仿宋" w:cs="仿宋"/>
                <w:sz w:val="28"/>
                <w:szCs w:val="28"/>
              </w:rPr>
            </w:pPr>
            <w:r>
              <w:rPr>
                <w:rFonts w:hint="eastAsia" w:ascii="仿宋" w:hAnsi="仿宋" w:eastAsia="仿宋" w:cs="仿宋"/>
                <w:sz w:val="28"/>
                <w:szCs w:val="28"/>
                <w:lang w:eastAsia="zh-CN"/>
              </w:rPr>
              <w:t>保留</w:t>
            </w:r>
          </w:p>
        </w:tc>
        <w:tc>
          <w:tcPr>
            <w:tcW w:w="2174" w:type="dxa"/>
            <w:tcBorders>
              <w:top w:val="single" w:color="auto" w:sz="4" w:space="0"/>
              <w:left w:val="single" w:color="000000" w:sz="2" w:space="0"/>
              <w:bottom w:val="single" w:color="auto" w:sz="4" w:space="0"/>
              <w:right w:val="single" w:color="000000" w:sz="2" w:space="0"/>
            </w:tcBorders>
            <w:vAlign w:val="center"/>
          </w:tcPr>
          <w:p>
            <w:pPr>
              <w:pStyle w:val="3"/>
              <w:widowControl/>
              <w:spacing w:before="0" w:beforeAutospacing="0" w:after="0" w:afterAutospacing="0" w:line="360" w:lineRule="exact"/>
              <w:jc w:val="center"/>
              <w:rPr>
                <w:rFonts w:ascii="仿宋" w:hAnsi="仿宋" w:eastAsia="仿宋" w:cs="仿宋"/>
                <w:sz w:val="28"/>
                <w:szCs w:val="28"/>
              </w:rPr>
            </w:pPr>
            <w:r>
              <w:rPr>
                <w:rFonts w:hint="eastAsia" w:ascii="仿宋" w:hAnsi="仿宋" w:eastAsia="仿宋" w:cs="仿宋"/>
                <w:sz w:val="28"/>
                <w:szCs w:val="28"/>
                <w:lang w:val="en-US" w:eastAsia="zh-CN"/>
              </w:rPr>
              <w:t>否</w:t>
            </w:r>
          </w:p>
        </w:tc>
      </w:tr>
      <w:tr>
        <w:tblPrEx>
          <w:tblCellMar>
            <w:top w:w="15" w:type="dxa"/>
            <w:left w:w="15" w:type="dxa"/>
            <w:bottom w:w="15" w:type="dxa"/>
            <w:right w:w="15" w:type="dxa"/>
          </w:tblCellMar>
        </w:tblPrEx>
        <w:trPr>
          <w:trHeight w:val="552" w:hRule="atLeast"/>
        </w:trPr>
        <w:tc>
          <w:tcPr>
            <w:tcW w:w="528"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widowControl/>
              <w:spacing w:line="360" w:lineRule="exact"/>
              <w:jc w:val="center"/>
              <w:rPr>
                <w:rFonts w:ascii="仿宋" w:hAnsi="仿宋" w:eastAsia="仿宋" w:cs="仿宋"/>
                <w:sz w:val="28"/>
                <w:szCs w:val="28"/>
              </w:rPr>
            </w:pPr>
          </w:p>
        </w:tc>
        <w:tc>
          <w:tcPr>
            <w:tcW w:w="1913" w:type="dxa"/>
            <w:tcBorders>
              <w:top w:val="single" w:color="auto" w:sz="4" w:space="0"/>
              <w:left w:val="single" w:color="000000" w:sz="2" w:space="0"/>
              <w:bottom w:val="single" w:color="auto" w:sz="4" w:space="0"/>
              <w:right w:val="single" w:color="auto" w:sz="4" w:space="0"/>
            </w:tcBorders>
            <w:tcMar>
              <w:top w:w="0" w:type="dxa"/>
              <w:left w:w="0" w:type="dxa"/>
              <w:bottom w:w="0" w:type="dxa"/>
              <w:right w:w="0" w:type="dxa"/>
            </w:tcMar>
            <w:vAlign w:val="center"/>
          </w:tcPr>
          <w:p>
            <w:pPr>
              <w:widowControl/>
              <w:spacing w:line="360" w:lineRule="exact"/>
              <w:jc w:val="center"/>
              <w:rPr>
                <w:rFonts w:ascii="仿宋_GB2312" w:hAnsi="仿宋_GB2312" w:eastAsia="仿宋_GB2312"/>
                <w:sz w:val="28"/>
                <w:szCs w:val="28"/>
              </w:rPr>
            </w:pPr>
            <w:r>
              <w:rPr>
                <w:rFonts w:hint="eastAsia" w:ascii="仿宋_GB2312" w:hAnsi="仿宋_GB2312" w:eastAsia="仿宋_GB2312"/>
                <w:sz w:val="28"/>
                <w:szCs w:val="28"/>
              </w:rPr>
              <w:t>机动车驾驶员培训机构变更名称、法定代表人等事项</w:t>
            </w:r>
          </w:p>
        </w:tc>
        <w:tc>
          <w:tcPr>
            <w:tcW w:w="1416" w:type="dxa"/>
            <w:tcBorders>
              <w:top w:val="single" w:color="000000" w:sz="2" w:space="0"/>
              <w:left w:val="single" w:color="auto" w:sz="4" w:space="0"/>
              <w:bottom w:val="single" w:color="000000" w:sz="2" w:space="0"/>
              <w:right w:val="single" w:color="auto" w:sz="4" w:space="0"/>
            </w:tcBorders>
            <w:tcMar>
              <w:top w:w="0" w:type="dxa"/>
              <w:left w:w="0" w:type="dxa"/>
              <w:bottom w:w="0" w:type="dxa"/>
              <w:right w:w="0" w:type="dxa"/>
            </w:tcMar>
            <w:vAlign w:val="center"/>
          </w:tcPr>
          <w:p>
            <w:pPr>
              <w:widowControl/>
              <w:spacing w:line="360" w:lineRule="exact"/>
              <w:ind w:firstLine="280" w:firstLineChars="100"/>
              <w:jc w:val="center"/>
              <w:rPr>
                <w:rFonts w:ascii="仿宋_GB2312" w:hAnsi="仿宋_GB2312" w:eastAsia="仿宋_GB2312"/>
                <w:sz w:val="28"/>
                <w:szCs w:val="28"/>
              </w:rPr>
            </w:pPr>
            <w:r>
              <w:rPr>
                <w:rFonts w:hint="eastAsia" w:ascii="仿宋_GB2312" w:hAnsi="仿宋_GB2312" w:eastAsia="仿宋_GB2312"/>
                <w:sz w:val="28"/>
                <w:szCs w:val="28"/>
              </w:rPr>
              <w:t>行政许可</w:t>
            </w:r>
          </w:p>
        </w:tc>
        <w:tc>
          <w:tcPr>
            <w:tcW w:w="2261" w:type="dxa"/>
            <w:tcBorders>
              <w:top w:val="single" w:color="000000" w:sz="2" w:space="0"/>
              <w:left w:val="single" w:color="auto" w:sz="4" w:space="0"/>
              <w:bottom w:val="single" w:color="000000" w:sz="2" w:space="0"/>
              <w:right w:val="single" w:color="000000" w:sz="2" w:space="0"/>
            </w:tcBorders>
            <w:tcMar>
              <w:top w:w="0" w:type="dxa"/>
              <w:left w:w="0" w:type="dxa"/>
              <w:bottom w:w="0" w:type="dxa"/>
              <w:right w:w="0" w:type="dxa"/>
            </w:tcMar>
            <w:vAlign w:val="center"/>
          </w:tcPr>
          <w:p>
            <w:pPr>
              <w:widowControl/>
              <w:spacing w:line="360" w:lineRule="exact"/>
              <w:rPr>
                <w:rFonts w:ascii="仿宋_GB2312" w:hAnsi="仿宋_GB2312" w:eastAsia="仿宋_GB2312"/>
                <w:sz w:val="28"/>
                <w:szCs w:val="28"/>
              </w:rPr>
            </w:pPr>
            <w:r>
              <w:rPr>
                <w:rFonts w:hint="eastAsia" w:ascii="仿宋_GB2312" w:hAnsi="仿宋_GB2312" w:eastAsia="仿宋_GB2312"/>
                <w:sz w:val="28"/>
                <w:szCs w:val="28"/>
              </w:rPr>
              <w:t>交通行政许可变更备案申请</w:t>
            </w:r>
          </w:p>
        </w:tc>
        <w:tc>
          <w:tcPr>
            <w:tcW w:w="5736"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widowControl/>
              <w:spacing w:line="360" w:lineRule="exact"/>
              <w:rPr>
                <w:rFonts w:ascii="仿宋_GB2312" w:hAnsi="仿宋_GB2312" w:eastAsia="仿宋_GB2312"/>
                <w:sz w:val="28"/>
                <w:szCs w:val="28"/>
              </w:rPr>
            </w:pPr>
            <w:r>
              <w:rPr>
                <w:rFonts w:hint="eastAsia" w:ascii="仿宋_GB2312" w:hAnsi="仿宋_GB2312" w:eastAsia="仿宋_GB2312"/>
                <w:sz w:val="28"/>
                <w:szCs w:val="28"/>
              </w:rPr>
              <w:t>《机动车驾驶员培训管理规定》第十八条</w:t>
            </w:r>
          </w:p>
        </w:tc>
        <w:tc>
          <w:tcPr>
            <w:tcW w:w="105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仿宋" w:hAnsi="仿宋" w:eastAsia="仿宋" w:cs="仿宋"/>
                <w:sz w:val="28"/>
                <w:szCs w:val="28"/>
              </w:rPr>
            </w:pPr>
          </w:p>
        </w:tc>
        <w:tc>
          <w:tcPr>
            <w:tcW w:w="1053" w:type="dxa"/>
            <w:tcBorders>
              <w:top w:val="single" w:color="auto" w:sz="4" w:space="0"/>
              <w:left w:val="single" w:color="000000" w:sz="2" w:space="0"/>
              <w:bottom w:val="single" w:color="auto" w:sz="4"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仿宋" w:hAnsi="仿宋" w:eastAsia="仿宋" w:cs="仿宋"/>
                <w:sz w:val="28"/>
                <w:szCs w:val="28"/>
              </w:rPr>
            </w:pPr>
            <w:r>
              <w:rPr>
                <w:rFonts w:hint="eastAsia" w:ascii="仿宋" w:hAnsi="仿宋" w:eastAsia="仿宋" w:cs="仿宋"/>
                <w:sz w:val="28"/>
                <w:szCs w:val="28"/>
                <w:lang w:eastAsia="zh-CN"/>
              </w:rPr>
              <w:t>保留</w:t>
            </w:r>
          </w:p>
        </w:tc>
        <w:tc>
          <w:tcPr>
            <w:tcW w:w="2174" w:type="dxa"/>
            <w:tcBorders>
              <w:top w:val="single" w:color="auto" w:sz="4" w:space="0"/>
              <w:left w:val="single" w:color="000000" w:sz="2" w:space="0"/>
              <w:bottom w:val="single" w:color="auto" w:sz="4" w:space="0"/>
              <w:right w:val="single" w:color="000000" w:sz="2" w:space="0"/>
            </w:tcBorders>
            <w:vAlign w:val="center"/>
          </w:tcPr>
          <w:p>
            <w:pPr>
              <w:pStyle w:val="3"/>
              <w:widowControl/>
              <w:spacing w:before="0" w:beforeAutospacing="0" w:after="0" w:afterAutospacing="0" w:line="360" w:lineRule="exact"/>
              <w:jc w:val="center"/>
              <w:rPr>
                <w:rFonts w:ascii="仿宋" w:hAnsi="仿宋" w:eastAsia="仿宋" w:cs="仿宋"/>
                <w:sz w:val="28"/>
                <w:szCs w:val="28"/>
              </w:rPr>
            </w:pPr>
            <w:r>
              <w:rPr>
                <w:rFonts w:hint="eastAsia" w:ascii="仿宋" w:hAnsi="仿宋" w:eastAsia="仿宋" w:cs="仿宋"/>
                <w:sz w:val="28"/>
                <w:szCs w:val="28"/>
                <w:lang w:val="en-US" w:eastAsia="zh-CN"/>
              </w:rPr>
              <w:t>否</w:t>
            </w:r>
          </w:p>
        </w:tc>
      </w:tr>
      <w:tr>
        <w:tblPrEx>
          <w:tblCellMar>
            <w:top w:w="15" w:type="dxa"/>
            <w:left w:w="15" w:type="dxa"/>
            <w:bottom w:w="15" w:type="dxa"/>
            <w:right w:w="15" w:type="dxa"/>
          </w:tblCellMar>
        </w:tblPrEx>
        <w:trPr>
          <w:trHeight w:val="6685" w:hRule="atLeast"/>
        </w:trPr>
        <w:tc>
          <w:tcPr>
            <w:tcW w:w="528"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widowControl/>
              <w:spacing w:line="360" w:lineRule="exact"/>
              <w:jc w:val="center"/>
              <w:rPr>
                <w:rFonts w:ascii="仿宋" w:hAnsi="仿宋" w:eastAsia="仿宋" w:cs="仿宋"/>
                <w:sz w:val="28"/>
                <w:szCs w:val="28"/>
              </w:rPr>
            </w:pPr>
          </w:p>
        </w:tc>
        <w:tc>
          <w:tcPr>
            <w:tcW w:w="1913" w:type="dxa"/>
            <w:tcBorders>
              <w:top w:val="single" w:color="auto" w:sz="4" w:space="0"/>
              <w:left w:val="single" w:color="000000" w:sz="2" w:space="0"/>
              <w:bottom w:val="single" w:color="auto" w:sz="4" w:space="0"/>
              <w:right w:val="single" w:color="auto" w:sz="4" w:space="0"/>
            </w:tcBorders>
            <w:tcMar>
              <w:top w:w="0" w:type="dxa"/>
              <w:left w:w="0" w:type="dxa"/>
              <w:bottom w:w="0" w:type="dxa"/>
              <w:right w:w="0" w:type="dxa"/>
            </w:tcMar>
            <w:vAlign w:val="center"/>
          </w:tcPr>
          <w:p>
            <w:pPr>
              <w:widowControl/>
              <w:spacing w:line="360" w:lineRule="exact"/>
              <w:jc w:val="center"/>
              <w:rPr>
                <w:rFonts w:ascii="仿宋_GB2312" w:hAnsi="仿宋_GB2312" w:eastAsia="仿宋_GB2312"/>
                <w:sz w:val="28"/>
                <w:szCs w:val="28"/>
              </w:rPr>
            </w:pPr>
            <w:r>
              <w:rPr>
                <w:rFonts w:hint="eastAsia" w:ascii="仿宋_GB2312" w:hAnsi="仿宋_GB2312" w:eastAsia="仿宋_GB2312"/>
                <w:sz w:val="28"/>
                <w:szCs w:val="28"/>
              </w:rPr>
              <w:t>机动车驾驶员培训业务许可</w:t>
            </w:r>
          </w:p>
        </w:tc>
        <w:tc>
          <w:tcPr>
            <w:tcW w:w="1416" w:type="dxa"/>
            <w:tcBorders>
              <w:top w:val="single" w:color="000000" w:sz="2" w:space="0"/>
              <w:left w:val="single" w:color="auto" w:sz="4" w:space="0"/>
              <w:bottom w:val="single" w:color="000000" w:sz="2" w:space="0"/>
              <w:right w:val="single" w:color="auto" w:sz="4" w:space="0"/>
            </w:tcBorders>
            <w:tcMar>
              <w:top w:w="0" w:type="dxa"/>
              <w:left w:w="0" w:type="dxa"/>
              <w:bottom w:w="0" w:type="dxa"/>
              <w:right w:w="0" w:type="dxa"/>
            </w:tcMar>
            <w:vAlign w:val="center"/>
          </w:tcPr>
          <w:p>
            <w:pPr>
              <w:widowControl/>
              <w:spacing w:line="360" w:lineRule="exact"/>
              <w:ind w:firstLine="280" w:firstLineChars="100"/>
              <w:jc w:val="center"/>
              <w:rPr>
                <w:rFonts w:ascii="仿宋_GB2312" w:hAnsi="仿宋_GB2312" w:eastAsia="仿宋_GB2312"/>
                <w:sz w:val="28"/>
                <w:szCs w:val="28"/>
              </w:rPr>
            </w:pPr>
            <w:r>
              <w:rPr>
                <w:rFonts w:hint="eastAsia" w:ascii="仿宋_GB2312" w:hAnsi="仿宋_GB2312" w:eastAsia="仿宋_GB2312"/>
                <w:sz w:val="28"/>
                <w:szCs w:val="28"/>
              </w:rPr>
              <w:t>行政许可</w:t>
            </w:r>
          </w:p>
        </w:tc>
        <w:tc>
          <w:tcPr>
            <w:tcW w:w="2261" w:type="dxa"/>
            <w:tcBorders>
              <w:top w:val="single" w:color="000000" w:sz="2" w:space="0"/>
              <w:left w:val="single" w:color="auto" w:sz="4" w:space="0"/>
              <w:bottom w:val="single" w:color="000000" w:sz="2" w:space="0"/>
              <w:right w:val="single" w:color="000000" w:sz="2" w:space="0"/>
            </w:tcBorders>
            <w:tcMar>
              <w:top w:w="0" w:type="dxa"/>
              <w:left w:w="0" w:type="dxa"/>
              <w:bottom w:w="0" w:type="dxa"/>
              <w:right w:w="0" w:type="dxa"/>
            </w:tcMar>
            <w:vAlign w:val="center"/>
          </w:tcPr>
          <w:p>
            <w:pPr>
              <w:widowControl/>
              <w:spacing w:line="360" w:lineRule="exact"/>
              <w:rPr>
                <w:rFonts w:ascii="仿宋_GB2312" w:hAnsi="仿宋_GB2312" w:eastAsia="仿宋_GB2312"/>
                <w:sz w:val="28"/>
                <w:szCs w:val="28"/>
              </w:rPr>
            </w:pPr>
            <w:r>
              <w:rPr>
                <w:rFonts w:hint="eastAsia" w:ascii="仿宋_GB2312" w:hAnsi="仿宋_GB2312" w:eastAsia="仿宋_GB2312"/>
                <w:sz w:val="28"/>
                <w:szCs w:val="28"/>
              </w:rPr>
              <w:t>申请人办理的工商营业执照正、副本</w:t>
            </w:r>
          </w:p>
        </w:tc>
        <w:tc>
          <w:tcPr>
            <w:tcW w:w="5736"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widowControl/>
              <w:spacing w:line="340" w:lineRule="exact"/>
              <w:rPr>
                <w:rFonts w:ascii="仿宋_GB2312" w:hAnsi="仿宋_GB2312" w:eastAsia="仿宋_GB2312"/>
                <w:sz w:val="28"/>
                <w:szCs w:val="28"/>
              </w:rPr>
            </w:pPr>
            <w:r>
              <w:rPr>
                <w:rFonts w:hint="eastAsia" w:ascii="仿宋_GB2312" w:hAnsi="仿宋_GB2312" w:eastAsia="仿宋_GB2312"/>
                <w:w w:val="80"/>
                <w:sz w:val="21"/>
                <w:szCs w:val="21"/>
              </w:rPr>
              <w:t>《机动车驾驶员培训管理规定》第十三条申请从事机动车驾驶员培训经营的，应当依法向工商行政管理机关办理有关登记手续后，向所在地县级道路运输管理机构提出申请，并提交以下材料：</w:t>
            </w:r>
            <w:r>
              <w:rPr>
                <w:rFonts w:ascii="仿宋_GB2312" w:hAnsi="仿宋_GB2312" w:eastAsia="仿宋_GB2312"/>
                <w:w w:val="80"/>
                <w:sz w:val="21"/>
                <w:szCs w:val="21"/>
              </w:rPr>
              <w:br w:type="textWrapping"/>
            </w:r>
            <w:r>
              <w:rPr>
                <w:rFonts w:hint="eastAsia" w:ascii="仿宋_GB2312" w:hAnsi="仿宋_GB2312" w:eastAsia="仿宋_GB2312"/>
                <w:w w:val="80"/>
                <w:sz w:val="21"/>
                <w:szCs w:val="21"/>
              </w:rPr>
              <w:t>　　（一）《交通行政许可申请书》；</w:t>
            </w:r>
            <w:r>
              <w:rPr>
                <w:rFonts w:ascii="仿宋_GB2312" w:hAnsi="仿宋_GB2312" w:eastAsia="仿宋_GB2312"/>
                <w:w w:val="80"/>
                <w:sz w:val="21"/>
                <w:szCs w:val="21"/>
              </w:rPr>
              <w:br w:type="textWrapping"/>
            </w:r>
            <w:r>
              <w:rPr>
                <w:rFonts w:hint="eastAsia" w:ascii="仿宋_GB2312" w:hAnsi="仿宋_GB2312" w:eastAsia="仿宋_GB2312"/>
                <w:w w:val="80"/>
                <w:sz w:val="21"/>
                <w:szCs w:val="21"/>
              </w:rPr>
              <w:t>　　（二）申请人身份证明及复印件；</w:t>
            </w:r>
            <w:r>
              <w:rPr>
                <w:rFonts w:ascii="仿宋_GB2312" w:hAnsi="仿宋_GB2312" w:eastAsia="仿宋_GB2312"/>
                <w:w w:val="80"/>
                <w:sz w:val="21"/>
                <w:szCs w:val="21"/>
              </w:rPr>
              <w:br w:type="textWrapping"/>
            </w:r>
            <w:r>
              <w:rPr>
                <w:rFonts w:hint="eastAsia" w:ascii="仿宋_GB2312" w:hAnsi="仿宋_GB2312" w:eastAsia="仿宋_GB2312"/>
                <w:w w:val="80"/>
                <w:sz w:val="21"/>
                <w:szCs w:val="21"/>
              </w:rPr>
              <w:t>　　（三）经营场所使用权证明或产权证明及复印件；</w:t>
            </w:r>
            <w:r>
              <w:rPr>
                <w:rFonts w:ascii="仿宋_GB2312" w:hAnsi="仿宋_GB2312" w:eastAsia="仿宋_GB2312"/>
                <w:w w:val="80"/>
                <w:sz w:val="21"/>
                <w:szCs w:val="21"/>
              </w:rPr>
              <w:br w:type="textWrapping"/>
            </w:r>
            <w:r>
              <w:rPr>
                <w:rFonts w:hint="eastAsia" w:ascii="仿宋_GB2312" w:hAnsi="仿宋_GB2312" w:eastAsia="仿宋_GB2312"/>
                <w:w w:val="80"/>
                <w:sz w:val="21"/>
                <w:szCs w:val="21"/>
              </w:rPr>
              <w:t>　　（四）教练场地使用权证明或产权证明及复印件；</w:t>
            </w:r>
            <w:r>
              <w:rPr>
                <w:rFonts w:ascii="仿宋_GB2312" w:hAnsi="仿宋_GB2312" w:eastAsia="仿宋_GB2312"/>
                <w:w w:val="80"/>
                <w:sz w:val="21"/>
                <w:szCs w:val="21"/>
              </w:rPr>
              <w:br w:type="textWrapping"/>
            </w:r>
            <w:r>
              <w:rPr>
                <w:rFonts w:hint="eastAsia" w:ascii="仿宋_GB2312" w:hAnsi="仿宋_GB2312" w:eastAsia="仿宋_GB2312"/>
                <w:w w:val="80"/>
                <w:sz w:val="21"/>
                <w:szCs w:val="21"/>
              </w:rPr>
              <w:t>　　（五）教练场地技术条件说明；</w:t>
            </w:r>
            <w:r>
              <w:rPr>
                <w:rFonts w:ascii="仿宋_GB2312" w:hAnsi="仿宋_GB2312" w:eastAsia="仿宋_GB2312"/>
                <w:w w:val="80"/>
                <w:sz w:val="21"/>
                <w:szCs w:val="21"/>
              </w:rPr>
              <w:br w:type="textWrapping"/>
            </w:r>
            <w:r>
              <w:rPr>
                <w:rFonts w:hint="eastAsia" w:ascii="仿宋_GB2312" w:hAnsi="仿宋_GB2312" w:eastAsia="仿宋_GB2312"/>
                <w:w w:val="80"/>
                <w:sz w:val="21"/>
                <w:szCs w:val="21"/>
              </w:rPr>
              <w:t>　　（六）教学车辆技术条件、车型及数量证明（申请从事机动车驾驶员培训教练场经营的无需提交）；</w:t>
            </w:r>
            <w:r>
              <w:rPr>
                <w:rFonts w:ascii="仿宋_GB2312" w:hAnsi="仿宋_GB2312" w:eastAsia="仿宋_GB2312"/>
                <w:w w:val="80"/>
                <w:sz w:val="21"/>
                <w:szCs w:val="21"/>
              </w:rPr>
              <w:br w:type="textWrapping"/>
            </w:r>
            <w:r>
              <w:rPr>
                <w:rFonts w:hint="eastAsia" w:ascii="仿宋_GB2312" w:hAnsi="仿宋_GB2312" w:eastAsia="仿宋_GB2312"/>
                <w:w w:val="80"/>
                <w:sz w:val="21"/>
                <w:szCs w:val="21"/>
              </w:rPr>
              <w:t>　　（七）教学车辆购置证明（申请从事机动车驾驶员培训教练场经营的无需提交）；</w:t>
            </w:r>
            <w:r>
              <w:rPr>
                <w:rFonts w:ascii="仿宋_GB2312" w:hAnsi="仿宋_GB2312" w:eastAsia="仿宋_GB2312"/>
                <w:w w:val="80"/>
                <w:sz w:val="21"/>
                <w:szCs w:val="21"/>
              </w:rPr>
              <w:br w:type="textWrapping"/>
            </w:r>
            <w:r>
              <w:rPr>
                <w:rFonts w:hint="eastAsia" w:ascii="仿宋_GB2312" w:hAnsi="仿宋_GB2312" w:eastAsia="仿宋_GB2312"/>
                <w:w w:val="80"/>
                <w:sz w:val="21"/>
                <w:szCs w:val="21"/>
              </w:rPr>
              <w:t>　　（八）各类设施、设备清单；</w:t>
            </w:r>
            <w:r>
              <w:rPr>
                <w:rFonts w:ascii="仿宋_GB2312" w:hAnsi="仿宋_GB2312" w:eastAsia="仿宋_GB2312"/>
                <w:w w:val="80"/>
                <w:sz w:val="21"/>
                <w:szCs w:val="21"/>
              </w:rPr>
              <w:br w:type="textWrapping"/>
            </w:r>
            <w:r>
              <w:rPr>
                <w:rFonts w:hint="eastAsia" w:ascii="仿宋_GB2312" w:hAnsi="仿宋_GB2312" w:eastAsia="仿宋_GB2312"/>
                <w:w w:val="80"/>
                <w:sz w:val="21"/>
                <w:szCs w:val="21"/>
              </w:rPr>
              <w:t>　　（九）拟聘用人员名册、职称证明；</w:t>
            </w:r>
            <w:r>
              <w:rPr>
                <w:rFonts w:ascii="仿宋_GB2312" w:hAnsi="仿宋_GB2312" w:eastAsia="仿宋_GB2312"/>
                <w:w w:val="80"/>
                <w:sz w:val="21"/>
                <w:szCs w:val="21"/>
              </w:rPr>
              <w:br w:type="textWrapping"/>
            </w:r>
            <w:r>
              <w:rPr>
                <w:rFonts w:hint="eastAsia" w:ascii="仿宋_GB2312" w:hAnsi="仿宋_GB2312" w:eastAsia="仿宋_GB2312"/>
                <w:w w:val="80"/>
                <w:sz w:val="21"/>
                <w:szCs w:val="21"/>
              </w:rPr>
              <w:t>　　（十）申请人办理的工商营业执照正、副本及复印件；</w:t>
            </w:r>
            <w:r>
              <w:rPr>
                <w:rFonts w:ascii="仿宋_GB2312" w:hAnsi="仿宋_GB2312" w:eastAsia="仿宋_GB2312"/>
                <w:w w:val="80"/>
                <w:sz w:val="21"/>
                <w:szCs w:val="21"/>
              </w:rPr>
              <w:br w:type="textWrapping"/>
            </w:r>
            <w:r>
              <w:rPr>
                <w:rFonts w:hint="eastAsia" w:ascii="仿宋_GB2312" w:hAnsi="仿宋_GB2312" w:eastAsia="仿宋_GB2312"/>
                <w:w w:val="80"/>
                <w:sz w:val="21"/>
                <w:szCs w:val="21"/>
              </w:rPr>
              <w:t>　　（十一）根据本规定需要提供的其他相关材料。</w:t>
            </w:r>
            <w:r>
              <w:rPr>
                <w:rFonts w:ascii="仿宋_GB2312" w:hAnsi="仿宋_GB2312" w:eastAsia="仿宋_GB2312"/>
                <w:w w:val="80"/>
                <w:sz w:val="21"/>
                <w:szCs w:val="21"/>
              </w:rPr>
              <w:br w:type="textWrapping"/>
            </w:r>
            <w:r>
              <w:rPr>
                <w:rFonts w:hint="eastAsia" w:ascii="仿宋_GB2312" w:hAnsi="仿宋_GB2312" w:eastAsia="仿宋_GB2312"/>
                <w:w w:val="80"/>
                <w:sz w:val="21"/>
                <w:szCs w:val="21"/>
              </w:rPr>
              <w:t>　　申请从事普通机动车驾驶员培训业务的，在递交申请材料时，应当同时提供由公安交警部门出具的相关人员安全驾驶经历证明，安全驾驶经历的起算时间自申请材料递交之日起倒计。</w:t>
            </w:r>
          </w:p>
        </w:tc>
        <w:tc>
          <w:tcPr>
            <w:tcW w:w="105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仿宋" w:hAnsi="仿宋" w:eastAsia="仿宋" w:cs="仿宋"/>
                <w:sz w:val="28"/>
                <w:szCs w:val="28"/>
              </w:rPr>
            </w:pPr>
          </w:p>
        </w:tc>
        <w:tc>
          <w:tcPr>
            <w:tcW w:w="1053" w:type="dxa"/>
            <w:tcBorders>
              <w:top w:val="single" w:color="auto" w:sz="4" w:space="0"/>
              <w:left w:val="single" w:color="000000" w:sz="2" w:space="0"/>
              <w:bottom w:val="single" w:color="auto" w:sz="4"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仿宋" w:hAnsi="仿宋" w:eastAsia="仿宋" w:cs="仿宋"/>
                <w:sz w:val="28"/>
                <w:szCs w:val="28"/>
              </w:rPr>
            </w:pPr>
            <w:r>
              <w:rPr>
                <w:rFonts w:hint="eastAsia" w:ascii="仿宋" w:hAnsi="仿宋" w:eastAsia="仿宋" w:cs="仿宋"/>
                <w:sz w:val="28"/>
                <w:szCs w:val="28"/>
                <w:lang w:eastAsia="zh-CN"/>
              </w:rPr>
              <w:t>保留</w:t>
            </w:r>
          </w:p>
        </w:tc>
        <w:tc>
          <w:tcPr>
            <w:tcW w:w="2174" w:type="dxa"/>
            <w:tcBorders>
              <w:top w:val="single" w:color="auto" w:sz="4" w:space="0"/>
              <w:left w:val="single" w:color="000000" w:sz="2" w:space="0"/>
              <w:bottom w:val="single" w:color="auto" w:sz="4" w:space="0"/>
              <w:right w:val="single" w:color="000000" w:sz="2" w:space="0"/>
            </w:tcBorders>
            <w:vAlign w:val="center"/>
          </w:tcPr>
          <w:p>
            <w:pPr>
              <w:pStyle w:val="3"/>
              <w:widowControl/>
              <w:spacing w:before="0" w:beforeAutospacing="0" w:after="0" w:afterAutospacing="0" w:line="360" w:lineRule="exact"/>
              <w:jc w:val="center"/>
              <w:rPr>
                <w:rFonts w:ascii="仿宋" w:hAnsi="仿宋" w:eastAsia="仿宋" w:cs="仿宋"/>
                <w:sz w:val="28"/>
                <w:szCs w:val="28"/>
              </w:rPr>
            </w:pPr>
            <w:r>
              <w:rPr>
                <w:rFonts w:hint="eastAsia" w:ascii="仿宋" w:hAnsi="仿宋" w:eastAsia="仿宋" w:cs="仿宋"/>
                <w:sz w:val="28"/>
                <w:szCs w:val="28"/>
                <w:lang w:val="en-US" w:eastAsia="zh-CN"/>
              </w:rPr>
              <w:t>否</w:t>
            </w:r>
          </w:p>
        </w:tc>
      </w:tr>
      <w:tr>
        <w:tblPrEx>
          <w:tblCellMar>
            <w:top w:w="15" w:type="dxa"/>
            <w:left w:w="15" w:type="dxa"/>
            <w:bottom w:w="15" w:type="dxa"/>
            <w:right w:w="15" w:type="dxa"/>
          </w:tblCellMar>
        </w:tblPrEx>
        <w:trPr>
          <w:trHeight w:val="552" w:hRule="atLeast"/>
        </w:trPr>
        <w:tc>
          <w:tcPr>
            <w:tcW w:w="528"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widowControl/>
              <w:spacing w:line="360" w:lineRule="exact"/>
              <w:jc w:val="center"/>
              <w:rPr>
                <w:rFonts w:ascii="仿宋" w:hAnsi="仿宋" w:eastAsia="仿宋" w:cs="仿宋"/>
                <w:sz w:val="28"/>
                <w:szCs w:val="28"/>
              </w:rPr>
            </w:pPr>
          </w:p>
        </w:tc>
        <w:tc>
          <w:tcPr>
            <w:tcW w:w="1913" w:type="dxa"/>
            <w:tcBorders>
              <w:top w:val="single" w:color="auto" w:sz="4" w:space="0"/>
              <w:left w:val="single" w:color="000000" w:sz="2" w:space="0"/>
              <w:bottom w:val="single" w:color="auto" w:sz="4" w:space="0"/>
              <w:right w:val="single" w:color="auto" w:sz="4" w:space="0"/>
            </w:tcBorders>
            <w:tcMar>
              <w:top w:w="0" w:type="dxa"/>
              <w:left w:w="0" w:type="dxa"/>
              <w:bottom w:w="0" w:type="dxa"/>
              <w:right w:w="0" w:type="dxa"/>
            </w:tcMar>
            <w:vAlign w:val="center"/>
          </w:tcPr>
          <w:p>
            <w:pPr>
              <w:widowControl/>
              <w:spacing w:line="360" w:lineRule="exact"/>
              <w:jc w:val="center"/>
              <w:rPr>
                <w:rFonts w:ascii="仿宋_GB2312" w:hAnsi="仿宋_GB2312" w:eastAsia="仿宋_GB2312"/>
                <w:sz w:val="28"/>
                <w:szCs w:val="28"/>
              </w:rPr>
            </w:pPr>
            <w:r>
              <w:rPr>
                <w:rFonts w:hint="eastAsia" w:ascii="仿宋_GB2312" w:hAnsi="仿宋_GB2312" w:eastAsia="仿宋_GB2312"/>
                <w:sz w:val="28"/>
                <w:szCs w:val="28"/>
              </w:rPr>
              <w:t>机动车驾驶员培训机构终止经营</w:t>
            </w:r>
          </w:p>
        </w:tc>
        <w:tc>
          <w:tcPr>
            <w:tcW w:w="1416" w:type="dxa"/>
            <w:tcBorders>
              <w:top w:val="single" w:color="000000" w:sz="2" w:space="0"/>
              <w:left w:val="single" w:color="auto" w:sz="4" w:space="0"/>
              <w:bottom w:val="single" w:color="000000" w:sz="2" w:space="0"/>
              <w:right w:val="single" w:color="auto" w:sz="4" w:space="0"/>
            </w:tcBorders>
            <w:tcMar>
              <w:top w:w="0" w:type="dxa"/>
              <w:left w:w="0" w:type="dxa"/>
              <w:bottom w:w="0" w:type="dxa"/>
              <w:right w:w="0" w:type="dxa"/>
            </w:tcMar>
            <w:vAlign w:val="center"/>
          </w:tcPr>
          <w:p>
            <w:pPr>
              <w:widowControl/>
              <w:spacing w:line="360" w:lineRule="exact"/>
              <w:ind w:firstLine="280" w:firstLineChars="100"/>
              <w:jc w:val="center"/>
              <w:rPr>
                <w:rFonts w:ascii="仿宋_GB2312" w:hAnsi="仿宋_GB2312" w:eastAsia="仿宋_GB2312"/>
                <w:sz w:val="28"/>
                <w:szCs w:val="28"/>
              </w:rPr>
            </w:pPr>
            <w:r>
              <w:rPr>
                <w:rFonts w:hint="eastAsia" w:ascii="仿宋_GB2312" w:hAnsi="仿宋_GB2312" w:eastAsia="仿宋_GB2312"/>
                <w:sz w:val="28"/>
                <w:szCs w:val="28"/>
              </w:rPr>
              <w:t>行政许可</w:t>
            </w:r>
          </w:p>
        </w:tc>
        <w:tc>
          <w:tcPr>
            <w:tcW w:w="2261" w:type="dxa"/>
            <w:tcBorders>
              <w:top w:val="single" w:color="000000" w:sz="2" w:space="0"/>
              <w:left w:val="single" w:color="auto" w:sz="4" w:space="0"/>
              <w:bottom w:val="single" w:color="000000" w:sz="2" w:space="0"/>
              <w:right w:val="single" w:color="000000" w:sz="2" w:space="0"/>
            </w:tcBorders>
            <w:tcMar>
              <w:top w:w="0" w:type="dxa"/>
              <w:left w:w="0" w:type="dxa"/>
              <w:bottom w:w="0" w:type="dxa"/>
              <w:right w:w="0" w:type="dxa"/>
            </w:tcMar>
            <w:vAlign w:val="center"/>
          </w:tcPr>
          <w:p>
            <w:pPr>
              <w:widowControl/>
              <w:spacing w:line="360" w:lineRule="exact"/>
              <w:rPr>
                <w:rFonts w:ascii="仿宋_GB2312" w:hAnsi="仿宋_GB2312" w:eastAsia="仿宋_GB2312"/>
                <w:sz w:val="28"/>
                <w:szCs w:val="28"/>
              </w:rPr>
            </w:pPr>
            <w:r>
              <w:rPr>
                <w:rFonts w:hint="eastAsia" w:ascii="仿宋_GB2312" w:hAnsi="仿宋_GB2312" w:eastAsia="仿宋_GB2312"/>
                <w:sz w:val="28"/>
                <w:szCs w:val="28"/>
              </w:rPr>
              <w:t>交通行政许可终止经营申请</w:t>
            </w:r>
          </w:p>
        </w:tc>
        <w:tc>
          <w:tcPr>
            <w:tcW w:w="5736"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仿宋_GB2312" w:eastAsia="仿宋_GB2312"/>
                <w:w w:val="90"/>
                <w:sz w:val="21"/>
                <w:szCs w:val="21"/>
              </w:rPr>
            </w:pPr>
            <w:r>
              <w:rPr>
                <w:rFonts w:hint="eastAsia" w:ascii="仿宋_GB2312" w:hAnsi="仿宋_GB2312" w:eastAsia="仿宋_GB2312"/>
                <w:w w:val="90"/>
                <w:sz w:val="21"/>
                <w:szCs w:val="21"/>
              </w:rPr>
              <w:t>交通运输部《道路运输管理工作规范》第十章</w:t>
            </w:r>
            <w:r>
              <w:rPr>
                <w:rFonts w:ascii="仿宋_GB2312" w:hAnsi="仿宋_GB2312" w:eastAsia="仿宋_GB2312"/>
                <w:w w:val="90"/>
                <w:sz w:val="21"/>
                <w:szCs w:val="21"/>
              </w:rPr>
              <w:t xml:space="preserve"> </w:t>
            </w:r>
            <w:r>
              <w:rPr>
                <w:rFonts w:hint="eastAsia" w:ascii="仿宋_GB2312" w:hAnsi="仿宋_GB2312" w:eastAsia="仿宋_GB2312"/>
                <w:w w:val="90"/>
                <w:sz w:val="21"/>
                <w:szCs w:val="21"/>
              </w:rPr>
              <w:t>机动车驾驶员培训管理工作规范；第一节；机动车驾驶员培训经营许可；五、许可事项变更及终止经营办理程序</w:t>
            </w:r>
            <w:r>
              <w:rPr>
                <w:rFonts w:ascii="仿宋_GB2312" w:hAnsi="仿宋_GB2312" w:eastAsia="仿宋_GB2312"/>
                <w:w w:val="90"/>
                <w:sz w:val="21"/>
                <w:szCs w:val="21"/>
              </w:rPr>
              <w:br w:type="textWrapping"/>
            </w:r>
            <w:r>
              <w:rPr>
                <w:rFonts w:ascii="仿宋_GB2312" w:hAnsi="仿宋_GB2312" w:eastAsia="仿宋_GB2312"/>
                <w:w w:val="90"/>
                <w:sz w:val="21"/>
                <w:szCs w:val="21"/>
              </w:rPr>
              <w:t>(</w:t>
            </w:r>
            <w:r>
              <w:rPr>
                <w:rFonts w:hint="eastAsia" w:ascii="仿宋_GB2312" w:hAnsi="仿宋_GB2312" w:eastAsia="仿宋_GB2312"/>
                <w:w w:val="90"/>
                <w:sz w:val="21"/>
                <w:szCs w:val="21"/>
              </w:rPr>
              <w:t>一</w:t>
            </w:r>
            <w:r>
              <w:rPr>
                <w:rFonts w:ascii="仿宋_GB2312" w:hAnsi="仿宋_GB2312" w:eastAsia="仿宋_GB2312"/>
                <w:w w:val="90"/>
                <w:sz w:val="21"/>
                <w:szCs w:val="21"/>
              </w:rPr>
              <w:t>)</w:t>
            </w:r>
            <w:r>
              <w:rPr>
                <w:rFonts w:hint="eastAsia" w:ascii="仿宋_GB2312" w:hAnsi="仿宋_GB2312" w:eastAsia="仿宋_GB2312"/>
                <w:w w:val="90"/>
                <w:sz w:val="21"/>
                <w:szCs w:val="21"/>
              </w:rPr>
              <w:t>机动车驾驶员培训机构提出变更许可事项申请，由原作出许可决定的道路运输管理机构受理。道路运输管理机构对申请进行审查，符合法定条件、标准的，依法办理变更手续。</w:t>
            </w:r>
            <w:r>
              <w:rPr>
                <w:rFonts w:ascii="仿宋_GB2312" w:hAnsi="仿宋_GB2312" w:eastAsia="仿宋_GB2312"/>
                <w:w w:val="90"/>
                <w:sz w:val="21"/>
                <w:szCs w:val="21"/>
              </w:rPr>
              <w:br w:type="textWrapping"/>
            </w:r>
            <w:r>
              <w:rPr>
                <w:rFonts w:ascii="仿宋_GB2312" w:hAnsi="仿宋_GB2312" w:eastAsia="仿宋_GB2312"/>
                <w:w w:val="90"/>
                <w:sz w:val="21"/>
                <w:szCs w:val="21"/>
              </w:rPr>
              <w:t>(</w:t>
            </w:r>
            <w:r>
              <w:rPr>
                <w:rFonts w:hint="eastAsia" w:ascii="仿宋_GB2312" w:hAnsi="仿宋_GB2312" w:eastAsia="仿宋_GB2312"/>
                <w:w w:val="90"/>
                <w:sz w:val="21"/>
                <w:szCs w:val="21"/>
              </w:rPr>
              <w:t>二</w:t>
            </w:r>
            <w:r>
              <w:rPr>
                <w:rFonts w:ascii="仿宋_GB2312" w:hAnsi="仿宋_GB2312" w:eastAsia="仿宋_GB2312"/>
                <w:w w:val="90"/>
                <w:sz w:val="21"/>
                <w:szCs w:val="21"/>
              </w:rPr>
              <w:t>)</w:t>
            </w:r>
            <w:r>
              <w:rPr>
                <w:rFonts w:hint="eastAsia" w:ascii="仿宋_GB2312" w:hAnsi="仿宋_GB2312" w:eastAsia="仿宋_GB2312"/>
                <w:w w:val="90"/>
                <w:sz w:val="21"/>
                <w:szCs w:val="21"/>
              </w:rPr>
              <w:t>机动车驾驶员培训机构申请变更名称、法定代表人等事项的，应当向原作出许可决定的道路运输管理机构备案。</w:t>
            </w:r>
            <w:r>
              <w:rPr>
                <w:rFonts w:ascii="仿宋_GB2312" w:hAnsi="仿宋_GB2312" w:eastAsia="仿宋_GB2312"/>
                <w:w w:val="90"/>
                <w:sz w:val="21"/>
                <w:szCs w:val="21"/>
              </w:rPr>
              <w:br w:type="textWrapping"/>
            </w:r>
            <w:r>
              <w:rPr>
                <w:rFonts w:ascii="仿宋_GB2312" w:hAnsi="仿宋_GB2312" w:eastAsia="仿宋_GB2312"/>
                <w:w w:val="90"/>
                <w:sz w:val="21"/>
                <w:szCs w:val="21"/>
              </w:rPr>
              <w:t>(</w:t>
            </w:r>
            <w:r>
              <w:rPr>
                <w:rFonts w:hint="eastAsia" w:ascii="仿宋_GB2312" w:hAnsi="仿宋_GB2312" w:eastAsia="仿宋_GB2312"/>
                <w:w w:val="90"/>
                <w:sz w:val="21"/>
                <w:szCs w:val="21"/>
              </w:rPr>
              <w:t>三</w:t>
            </w:r>
            <w:r>
              <w:rPr>
                <w:rFonts w:ascii="仿宋_GB2312" w:hAnsi="仿宋_GB2312" w:eastAsia="仿宋_GB2312"/>
                <w:w w:val="90"/>
                <w:sz w:val="21"/>
                <w:szCs w:val="21"/>
              </w:rPr>
              <w:t>)</w:t>
            </w:r>
            <w:r>
              <w:rPr>
                <w:rFonts w:hint="eastAsia" w:ascii="仿宋_GB2312" w:hAnsi="仿宋_GB2312" w:eastAsia="仿宋_GB2312"/>
                <w:w w:val="90"/>
                <w:sz w:val="21"/>
                <w:szCs w:val="21"/>
              </w:rPr>
              <w:t>机动车驾驶员培训机构需要终止经营的，应当在终止经营之日起提前</w:t>
            </w:r>
            <w:r>
              <w:rPr>
                <w:rFonts w:ascii="仿宋_GB2312" w:hAnsi="仿宋_GB2312" w:eastAsia="仿宋_GB2312"/>
                <w:w w:val="90"/>
                <w:sz w:val="21"/>
                <w:szCs w:val="21"/>
              </w:rPr>
              <w:t>30</w:t>
            </w:r>
            <w:r>
              <w:rPr>
                <w:rFonts w:hint="eastAsia" w:ascii="仿宋_GB2312" w:hAnsi="仿宋_GB2312" w:eastAsia="仿宋_GB2312"/>
                <w:w w:val="90"/>
                <w:sz w:val="21"/>
                <w:szCs w:val="21"/>
              </w:rPr>
              <w:t>日向原作出许可决定的道路运输管理机构申请办理行政许可注销手续。道路运输管理机构收到终止经营申请后，无特别理由的，应当为机动车驾驶员培训机构办理行政许可注销手续。</w:t>
            </w:r>
            <w:r>
              <w:rPr>
                <w:rFonts w:ascii="仿宋_GB2312" w:hAnsi="仿宋_GB2312" w:eastAsia="仿宋_GB2312"/>
                <w:w w:val="90"/>
                <w:sz w:val="21"/>
                <w:szCs w:val="21"/>
              </w:rPr>
              <w:br w:type="textWrapping"/>
            </w:r>
            <w:r>
              <w:rPr>
                <w:rFonts w:ascii="仿宋_GB2312" w:hAnsi="仿宋_GB2312" w:eastAsia="仿宋_GB2312"/>
                <w:w w:val="90"/>
                <w:sz w:val="21"/>
                <w:szCs w:val="21"/>
              </w:rPr>
              <w:t>(</w:t>
            </w:r>
            <w:r>
              <w:rPr>
                <w:rFonts w:hint="eastAsia" w:ascii="仿宋_GB2312" w:hAnsi="仿宋_GB2312" w:eastAsia="仿宋_GB2312"/>
                <w:w w:val="90"/>
                <w:sz w:val="21"/>
                <w:szCs w:val="21"/>
              </w:rPr>
              <w:t>四</w:t>
            </w:r>
            <w:r>
              <w:rPr>
                <w:rFonts w:ascii="仿宋_GB2312" w:hAnsi="仿宋_GB2312" w:eastAsia="仿宋_GB2312"/>
                <w:w w:val="90"/>
                <w:sz w:val="21"/>
                <w:szCs w:val="21"/>
              </w:rPr>
              <w:t>)</w:t>
            </w:r>
            <w:r>
              <w:rPr>
                <w:rFonts w:hint="eastAsia" w:ascii="仿宋_GB2312" w:hAnsi="仿宋_GB2312" w:eastAsia="仿宋_GB2312"/>
                <w:w w:val="90"/>
                <w:sz w:val="21"/>
                <w:szCs w:val="21"/>
              </w:rPr>
              <w:t>机动车驾驶员培训机构终止经营后，道路运输管理机构应当监督机动车驾驶员培训机构妥善处理与学员的关系，保护学员的合法利益</w:t>
            </w:r>
          </w:p>
        </w:tc>
        <w:tc>
          <w:tcPr>
            <w:tcW w:w="105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仿宋" w:hAnsi="仿宋" w:eastAsia="仿宋" w:cs="仿宋"/>
                <w:sz w:val="28"/>
                <w:szCs w:val="28"/>
              </w:rPr>
            </w:pPr>
          </w:p>
        </w:tc>
        <w:tc>
          <w:tcPr>
            <w:tcW w:w="1053" w:type="dxa"/>
            <w:tcBorders>
              <w:top w:val="single" w:color="auto" w:sz="4" w:space="0"/>
              <w:left w:val="single" w:color="000000" w:sz="2" w:space="0"/>
              <w:bottom w:val="single" w:color="auto" w:sz="4"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仿宋" w:hAnsi="仿宋" w:eastAsia="仿宋" w:cs="仿宋"/>
                <w:sz w:val="28"/>
                <w:szCs w:val="28"/>
              </w:rPr>
            </w:pPr>
            <w:r>
              <w:rPr>
                <w:rFonts w:hint="eastAsia" w:ascii="仿宋" w:hAnsi="仿宋" w:eastAsia="仿宋" w:cs="仿宋"/>
                <w:sz w:val="28"/>
                <w:szCs w:val="28"/>
                <w:lang w:eastAsia="zh-CN"/>
              </w:rPr>
              <w:t>保留</w:t>
            </w:r>
          </w:p>
        </w:tc>
        <w:tc>
          <w:tcPr>
            <w:tcW w:w="2174" w:type="dxa"/>
            <w:tcBorders>
              <w:top w:val="single" w:color="auto" w:sz="4" w:space="0"/>
              <w:left w:val="single" w:color="000000" w:sz="2" w:space="0"/>
              <w:bottom w:val="single" w:color="auto" w:sz="4" w:space="0"/>
              <w:right w:val="single" w:color="000000" w:sz="2" w:space="0"/>
            </w:tcBorders>
            <w:vAlign w:val="center"/>
          </w:tcPr>
          <w:p>
            <w:pPr>
              <w:pStyle w:val="3"/>
              <w:widowControl/>
              <w:spacing w:before="0" w:beforeAutospacing="0" w:after="0" w:afterAutospacing="0" w:line="360" w:lineRule="exact"/>
              <w:jc w:val="center"/>
              <w:rPr>
                <w:rFonts w:ascii="仿宋" w:hAnsi="仿宋" w:eastAsia="仿宋" w:cs="仿宋"/>
                <w:sz w:val="28"/>
                <w:szCs w:val="28"/>
              </w:rPr>
            </w:pPr>
            <w:r>
              <w:rPr>
                <w:rFonts w:hint="eastAsia" w:ascii="仿宋" w:hAnsi="仿宋" w:eastAsia="仿宋" w:cs="仿宋"/>
                <w:sz w:val="28"/>
                <w:szCs w:val="28"/>
                <w:lang w:val="en-US" w:eastAsia="zh-CN"/>
              </w:rPr>
              <w:t>否</w:t>
            </w:r>
          </w:p>
        </w:tc>
      </w:tr>
      <w:tr>
        <w:tblPrEx>
          <w:tblCellMar>
            <w:top w:w="15" w:type="dxa"/>
            <w:left w:w="15" w:type="dxa"/>
            <w:bottom w:w="15" w:type="dxa"/>
            <w:right w:w="15" w:type="dxa"/>
          </w:tblCellMar>
        </w:tblPrEx>
        <w:trPr>
          <w:trHeight w:val="4220" w:hRule="atLeast"/>
        </w:trPr>
        <w:tc>
          <w:tcPr>
            <w:tcW w:w="528"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widowControl/>
              <w:spacing w:line="360" w:lineRule="exact"/>
              <w:jc w:val="center"/>
              <w:rPr>
                <w:rFonts w:ascii="仿宋" w:hAnsi="仿宋" w:eastAsia="仿宋" w:cs="仿宋"/>
                <w:sz w:val="28"/>
                <w:szCs w:val="28"/>
              </w:rPr>
            </w:pPr>
          </w:p>
        </w:tc>
        <w:tc>
          <w:tcPr>
            <w:tcW w:w="1913" w:type="dxa"/>
            <w:tcBorders>
              <w:top w:val="single" w:color="auto" w:sz="4" w:space="0"/>
              <w:left w:val="single" w:color="000000" w:sz="2" w:space="0"/>
              <w:bottom w:val="single" w:color="auto" w:sz="4" w:space="0"/>
              <w:right w:val="single" w:color="auto" w:sz="4" w:space="0"/>
            </w:tcBorders>
            <w:tcMar>
              <w:top w:w="0" w:type="dxa"/>
              <w:left w:w="0" w:type="dxa"/>
              <w:bottom w:w="0" w:type="dxa"/>
              <w:right w:w="0" w:type="dxa"/>
            </w:tcMar>
            <w:vAlign w:val="center"/>
          </w:tcPr>
          <w:p>
            <w:pPr>
              <w:widowControl/>
              <w:spacing w:line="360" w:lineRule="exact"/>
              <w:jc w:val="center"/>
              <w:rPr>
                <w:rFonts w:ascii="仿宋_GB2312" w:hAnsi="仿宋_GB2312" w:eastAsia="仿宋_GB2312"/>
                <w:sz w:val="28"/>
                <w:szCs w:val="28"/>
              </w:rPr>
            </w:pPr>
            <w:r>
              <w:rPr>
                <w:rFonts w:hint="eastAsia" w:ascii="仿宋_GB2312" w:hAnsi="仿宋_GB2312" w:eastAsia="仿宋_GB2312"/>
                <w:sz w:val="28"/>
                <w:szCs w:val="28"/>
              </w:rPr>
              <w:t>机动车驾驶员培训机构变更许可事项</w:t>
            </w:r>
          </w:p>
        </w:tc>
        <w:tc>
          <w:tcPr>
            <w:tcW w:w="1416" w:type="dxa"/>
            <w:tcBorders>
              <w:top w:val="single" w:color="000000" w:sz="2" w:space="0"/>
              <w:left w:val="single" w:color="auto" w:sz="4" w:space="0"/>
              <w:bottom w:val="single" w:color="000000" w:sz="2" w:space="0"/>
              <w:right w:val="single" w:color="auto" w:sz="4" w:space="0"/>
            </w:tcBorders>
            <w:tcMar>
              <w:top w:w="0" w:type="dxa"/>
              <w:left w:w="0" w:type="dxa"/>
              <w:bottom w:w="0" w:type="dxa"/>
              <w:right w:w="0" w:type="dxa"/>
            </w:tcMar>
            <w:vAlign w:val="center"/>
          </w:tcPr>
          <w:p>
            <w:pPr>
              <w:widowControl/>
              <w:spacing w:line="360" w:lineRule="exact"/>
              <w:ind w:firstLine="280" w:firstLineChars="100"/>
              <w:jc w:val="center"/>
              <w:rPr>
                <w:rFonts w:ascii="仿宋_GB2312" w:hAnsi="仿宋_GB2312" w:eastAsia="仿宋_GB2312"/>
                <w:sz w:val="28"/>
                <w:szCs w:val="28"/>
              </w:rPr>
            </w:pPr>
            <w:r>
              <w:rPr>
                <w:rFonts w:hint="eastAsia" w:ascii="仿宋_GB2312" w:hAnsi="仿宋_GB2312" w:eastAsia="仿宋_GB2312"/>
                <w:sz w:val="28"/>
                <w:szCs w:val="28"/>
              </w:rPr>
              <w:t>行政许可</w:t>
            </w:r>
          </w:p>
        </w:tc>
        <w:tc>
          <w:tcPr>
            <w:tcW w:w="2261" w:type="dxa"/>
            <w:tcBorders>
              <w:top w:val="single" w:color="000000" w:sz="2" w:space="0"/>
              <w:left w:val="single" w:color="auto" w:sz="4" w:space="0"/>
              <w:bottom w:val="single" w:color="000000" w:sz="2" w:space="0"/>
              <w:right w:val="single" w:color="000000" w:sz="2" w:space="0"/>
            </w:tcBorders>
            <w:tcMar>
              <w:top w:w="0" w:type="dxa"/>
              <w:left w:w="0" w:type="dxa"/>
              <w:bottom w:w="0" w:type="dxa"/>
              <w:right w:w="0" w:type="dxa"/>
            </w:tcMar>
            <w:vAlign w:val="center"/>
          </w:tcPr>
          <w:p>
            <w:pPr>
              <w:widowControl/>
              <w:spacing w:line="360" w:lineRule="exact"/>
              <w:rPr>
                <w:rFonts w:ascii="仿宋_GB2312" w:hAnsi="仿宋_GB2312" w:eastAsia="仿宋_GB2312"/>
                <w:sz w:val="28"/>
                <w:szCs w:val="28"/>
              </w:rPr>
            </w:pPr>
            <w:r>
              <w:rPr>
                <w:rFonts w:hint="eastAsia" w:ascii="仿宋_GB2312" w:hAnsi="仿宋_GB2312" w:eastAsia="仿宋_GB2312"/>
                <w:sz w:val="28"/>
                <w:szCs w:val="28"/>
              </w:rPr>
              <w:t>交通行政许可变更备案申请</w:t>
            </w:r>
          </w:p>
        </w:tc>
        <w:tc>
          <w:tcPr>
            <w:tcW w:w="5736"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仿宋_GB2312" w:eastAsia="仿宋_GB2312"/>
                <w:w w:val="90"/>
                <w:sz w:val="21"/>
                <w:szCs w:val="21"/>
              </w:rPr>
            </w:pPr>
            <w:r>
              <w:rPr>
                <w:rFonts w:hint="eastAsia" w:ascii="仿宋_GB2312" w:hAnsi="仿宋_GB2312" w:eastAsia="仿宋_GB2312"/>
                <w:w w:val="90"/>
                <w:sz w:val="21"/>
                <w:szCs w:val="21"/>
              </w:rPr>
              <w:t>交通运输部《道路运输管理工作规范》第十章</w:t>
            </w:r>
            <w:r>
              <w:rPr>
                <w:rFonts w:ascii="仿宋_GB2312" w:hAnsi="仿宋_GB2312" w:eastAsia="仿宋_GB2312"/>
                <w:w w:val="90"/>
                <w:sz w:val="21"/>
                <w:szCs w:val="21"/>
              </w:rPr>
              <w:t xml:space="preserve"> </w:t>
            </w:r>
            <w:r>
              <w:rPr>
                <w:rFonts w:hint="eastAsia" w:ascii="仿宋_GB2312" w:hAnsi="仿宋_GB2312" w:eastAsia="仿宋_GB2312"/>
                <w:w w:val="90"/>
                <w:sz w:val="21"/>
                <w:szCs w:val="21"/>
              </w:rPr>
              <w:t>机动车驾驶员培训管理工作规范；第一节；机动车驾驶员培训经营许可；五、许可事项变更及终止经营办理程序</w:t>
            </w:r>
            <w:r>
              <w:rPr>
                <w:rFonts w:ascii="仿宋_GB2312" w:hAnsi="仿宋_GB2312" w:eastAsia="仿宋_GB2312"/>
                <w:w w:val="90"/>
                <w:sz w:val="21"/>
                <w:szCs w:val="21"/>
              </w:rPr>
              <w:br w:type="textWrapping"/>
            </w:r>
            <w:r>
              <w:rPr>
                <w:rFonts w:ascii="仿宋_GB2312" w:hAnsi="仿宋_GB2312" w:eastAsia="仿宋_GB2312"/>
                <w:w w:val="90"/>
                <w:sz w:val="21"/>
                <w:szCs w:val="21"/>
              </w:rPr>
              <w:t>(</w:t>
            </w:r>
            <w:r>
              <w:rPr>
                <w:rFonts w:hint="eastAsia" w:ascii="仿宋_GB2312" w:hAnsi="仿宋_GB2312" w:eastAsia="仿宋_GB2312"/>
                <w:w w:val="90"/>
                <w:sz w:val="21"/>
                <w:szCs w:val="21"/>
              </w:rPr>
              <w:t>一</w:t>
            </w:r>
            <w:r>
              <w:rPr>
                <w:rFonts w:ascii="仿宋_GB2312" w:hAnsi="仿宋_GB2312" w:eastAsia="仿宋_GB2312"/>
                <w:w w:val="90"/>
                <w:sz w:val="21"/>
                <w:szCs w:val="21"/>
              </w:rPr>
              <w:t>)</w:t>
            </w:r>
            <w:r>
              <w:rPr>
                <w:rFonts w:hint="eastAsia" w:ascii="仿宋_GB2312" w:hAnsi="仿宋_GB2312" w:eastAsia="仿宋_GB2312"/>
                <w:w w:val="90"/>
                <w:sz w:val="21"/>
                <w:szCs w:val="21"/>
              </w:rPr>
              <w:t>机动车驾驶员培训机构提出变更许可事项申请，由原作出许可决定的道路运输管理机构受理。道路运输管理机构对申请进行审查，符合法定条件、标准的，依法办理变更手续。</w:t>
            </w:r>
            <w:r>
              <w:rPr>
                <w:rFonts w:ascii="仿宋_GB2312" w:hAnsi="仿宋_GB2312" w:eastAsia="仿宋_GB2312"/>
                <w:w w:val="90"/>
                <w:sz w:val="21"/>
                <w:szCs w:val="21"/>
              </w:rPr>
              <w:br w:type="textWrapping"/>
            </w:r>
            <w:r>
              <w:rPr>
                <w:rFonts w:ascii="仿宋_GB2312" w:hAnsi="仿宋_GB2312" w:eastAsia="仿宋_GB2312"/>
                <w:w w:val="90"/>
                <w:sz w:val="21"/>
                <w:szCs w:val="21"/>
              </w:rPr>
              <w:t>(</w:t>
            </w:r>
            <w:r>
              <w:rPr>
                <w:rFonts w:hint="eastAsia" w:ascii="仿宋_GB2312" w:hAnsi="仿宋_GB2312" w:eastAsia="仿宋_GB2312"/>
                <w:w w:val="90"/>
                <w:sz w:val="21"/>
                <w:szCs w:val="21"/>
              </w:rPr>
              <w:t>二</w:t>
            </w:r>
            <w:r>
              <w:rPr>
                <w:rFonts w:ascii="仿宋_GB2312" w:hAnsi="仿宋_GB2312" w:eastAsia="仿宋_GB2312"/>
                <w:w w:val="90"/>
                <w:sz w:val="21"/>
                <w:szCs w:val="21"/>
              </w:rPr>
              <w:t>)</w:t>
            </w:r>
            <w:r>
              <w:rPr>
                <w:rFonts w:hint="eastAsia" w:ascii="仿宋_GB2312" w:hAnsi="仿宋_GB2312" w:eastAsia="仿宋_GB2312"/>
                <w:w w:val="90"/>
                <w:sz w:val="21"/>
                <w:szCs w:val="21"/>
              </w:rPr>
              <w:t>机动车驾驶员培训机构申请变更名称、法定代表人等事项的，应当向原作出许可决定的道路运输管理机构备案。</w:t>
            </w:r>
            <w:r>
              <w:rPr>
                <w:rFonts w:ascii="仿宋_GB2312" w:hAnsi="仿宋_GB2312" w:eastAsia="仿宋_GB2312"/>
                <w:w w:val="90"/>
                <w:sz w:val="21"/>
                <w:szCs w:val="21"/>
              </w:rPr>
              <w:br w:type="textWrapping"/>
            </w:r>
            <w:r>
              <w:rPr>
                <w:rFonts w:ascii="仿宋_GB2312" w:hAnsi="仿宋_GB2312" w:eastAsia="仿宋_GB2312"/>
                <w:w w:val="90"/>
                <w:sz w:val="21"/>
                <w:szCs w:val="21"/>
              </w:rPr>
              <w:t>(</w:t>
            </w:r>
            <w:r>
              <w:rPr>
                <w:rFonts w:hint="eastAsia" w:ascii="仿宋_GB2312" w:hAnsi="仿宋_GB2312" w:eastAsia="仿宋_GB2312"/>
                <w:w w:val="90"/>
                <w:sz w:val="21"/>
                <w:szCs w:val="21"/>
              </w:rPr>
              <w:t>三</w:t>
            </w:r>
            <w:r>
              <w:rPr>
                <w:rFonts w:ascii="仿宋_GB2312" w:hAnsi="仿宋_GB2312" w:eastAsia="仿宋_GB2312"/>
                <w:w w:val="90"/>
                <w:sz w:val="21"/>
                <w:szCs w:val="21"/>
              </w:rPr>
              <w:t>)</w:t>
            </w:r>
            <w:r>
              <w:rPr>
                <w:rFonts w:hint="eastAsia" w:ascii="仿宋_GB2312" w:hAnsi="仿宋_GB2312" w:eastAsia="仿宋_GB2312"/>
                <w:w w:val="90"/>
                <w:sz w:val="21"/>
                <w:szCs w:val="21"/>
              </w:rPr>
              <w:t>机动车驾驶员培训机构需要终止经营的，应当在终止经营之日起提前</w:t>
            </w:r>
            <w:r>
              <w:rPr>
                <w:rFonts w:ascii="仿宋_GB2312" w:hAnsi="仿宋_GB2312" w:eastAsia="仿宋_GB2312"/>
                <w:w w:val="90"/>
                <w:sz w:val="21"/>
                <w:szCs w:val="21"/>
              </w:rPr>
              <w:t>30</w:t>
            </w:r>
            <w:r>
              <w:rPr>
                <w:rFonts w:hint="eastAsia" w:ascii="仿宋_GB2312" w:hAnsi="仿宋_GB2312" w:eastAsia="仿宋_GB2312"/>
                <w:w w:val="90"/>
                <w:sz w:val="21"/>
                <w:szCs w:val="21"/>
              </w:rPr>
              <w:t>日向原作出许可决定的道路运输管理机构申请办理行政许可注销手续。道路运输管理机构收到终止经营申请后，无特别理由的，应当为机动车驾驶员培训机构办理行政许可注销手续。</w:t>
            </w:r>
            <w:r>
              <w:rPr>
                <w:rFonts w:ascii="仿宋_GB2312" w:hAnsi="仿宋_GB2312" w:eastAsia="仿宋_GB2312"/>
                <w:w w:val="90"/>
                <w:sz w:val="21"/>
                <w:szCs w:val="21"/>
              </w:rPr>
              <w:br w:type="textWrapping"/>
            </w:r>
            <w:r>
              <w:rPr>
                <w:rFonts w:ascii="仿宋_GB2312" w:hAnsi="仿宋_GB2312" w:eastAsia="仿宋_GB2312"/>
                <w:w w:val="90"/>
                <w:sz w:val="21"/>
                <w:szCs w:val="21"/>
              </w:rPr>
              <w:t>(</w:t>
            </w:r>
            <w:r>
              <w:rPr>
                <w:rFonts w:hint="eastAsia" w:ascii="仿宋_GB2312" w:hAnsi="仿宋_GB2312" w:eastAsia="仿宋_GB2312"/>
                <w:w w:val="90"/>
                <w:sz w:val="21"/>
                <w:szCs w:val="21"/>
              </w:rPr>
              <w:t>四</w:t>
            </w:r>
            <w:r>
              <w:rPr>
                <w:rFonts w:ascii="仿宋_GB2312" w:hAnsi="仿宋_GB2312" w:eastAsia="仿宋_GB2312"/>
                <w:w w:val="90"/>
                <w:sz w:val="21"/>
                <w:szCs w:val="21"/>
              </w:rPr>
              <w:t>)</w:t>
            </w:r>
            <w:r>
              <w:rPr>
                <w:rFonts w:hint="eastAsia" w:ascii="仿宋_GB2312" w:hAnsi="仿宋_GB2312" w:eastAsia="仿宋_GB2312"/>
                <w:w w:val="90"/>
                <w:sz w:val="21"/>
                <w:szCs w:val="21"/>
              </w:rPr>
              <w:t>机动车驾驶员培训机构终止经营后，道路运输管理机构应当监督机动车驾驶员培训机构妥善处理与学员的关系，保护学员的合法利益</w:t>
            </w:r>
          </w:p>
        </w:tc>
        <w:tc>
          <w:tcPr>
            <w:tcW w:w="105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仿宋" w:hAnsi="仿宋" w:eastAsia="仿宋" w:cs="仿宋"/>
                <w:sz w:val="28"/>
                <w:szCs w:val="28"/>
              </w:rPr>
            </w:pPr>
          </w:p>
        </w:tc>
        <w:tc>
          <w:tcPr>
            <w:tcW w:w="1053" w:type="dxa"/>
            <w:tcBorders>
              <w:top w:val="single" w:color="auto" w:sz="4" w:space="0"/>
              <w:left w:val="single" w:color="000000" w:sz="2" w:space="0"/>
              <w:bottom w:val="single" w:color="auto" w:sz="4"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仿宋" w:hAnsi="仿宋" w:eastAsia="仿宋" w:cs="仿宋"/>
                <w:sz w:val="28"/>
                <w:szCs w:val="28"/>
              </w:rPr>
            </w:pPr>
            <w:r>
              <w:rPr>
                <w:rFonts w:hint="eastAsia" w:ascii="仿宋" w:hAnsi="仿宋" w:eastAsia="仿宋" w:cs="仿宋"/>
                <w:sz w:val="28"/>
                <w:szCs w:val="28"/>
                <w:lang w:eastAsia="zh-CN"/>
              </w:rPr>
              <w:t>保留</w:t>
            </w:r>
          </w:p>
        </w:tc>
        <w:tc>
          <w:tcPr>
            <w:tcW w:w="2174" w:type="dxa"/>
            <w:tcBorders>
              <w:top w:val="single" w:color="auto" w:sz="4" w:space="0"/>
              <w:left w:val="single" w:color="000000" w:sz="2" w:space="0"/>
              <w:bottom w:val="single" w:color="auto" w:sz="4" w:space="0"/>
              <w:right w:val="single" w:color="000000" w:sz="2" w:space="0"/>
            </w:tcBorders>
            <w:vAlign w:val="center"/>
          </w:tcPr>
          <w:p>
            <w:pPr>
              <w:pStyle w:val="3"/>
              <w:widowControl/>
              <w:spacing w:before="0" w:beforeAutospacing="0" w:after="0" w:afterAutospacing="0" w:line="360" w:lineRule="exact"/>
              <w:jc w:val="center"/>
              <w:rPr>
                <w:rFonts w:ascii="仿宋" w:hAnsi="仿宋" w:eastAsia="仿宋" w:cs="仿宋"/>
                <w:sz w:val="28"/>
                <w:szCs w:val="28"/>
              </w:rPr>
            </w:pPr>
            <w:r>
              <w:rPr>
                <w:rFonts w:hint="eastAsia" w:ascii="仿宋" w:hAnsi="仿宋" w:eastAsia="仿宋" w:cs="仿宋"/>
                <w:sz w:val="28"/>
                <w:szCs w:val="28"/>
                <w:lang w:val="en-US" w:eastAsia="zh-CN"/>
              </w:rPr>
              <w:t>否</w:t>
            </w:r>
          </w:p>
        </w:tc>
      </w:tr>
      <w:tr>
        <w:tblPrEx>
          <w:tblCellMar>
            <w:top w:w="15" w:type="dxa"/>
            <w:left w:w="15" w:type="dxa"/>
            <w:bottom w:w="15" w:type="dxa"/>
            <w:right w:w="15" w:type="dxa"/>
          </w:tblCellMar>
        </w:tblPrEx>
        <w:trPr>
          <w:trHeight w:val="552" w:hRule="atLeast"/>
        </w:trPr>
        <w:tc>
          <w:tcPr>
            <w:tcW w:w="528"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widowControl/>
              <w:spacing w:line="360" w:lineRule="exact"/>
              <w:jc w:val="center"/>
              <w:rPr>
                <w:rFonts w:ascii="仿宋" w:hAnsi="仿宋" w:eastAsia="仿宋" w:cs="仿宋"/>
                <w:sz w:val="28"/>
                <w:szCs w:val="28"/>
              </w:rPr>
            </w:pPr>
          </w:p>
        </w:tc>
        <w:tc>
          <w:tcPr>
            <w:tcW w:w="1913" w:type="dxa"/>
            <w:tcBorders>
              <w:top w:val="single" w:color="auto" w:sz="4" w:space="0"/>
              <w:left w:val="single" w:color="000000" w:sz="2" w:space="0"/>
              <w:bottom w:val="single" w:color="auto" w:sz="4" w:space="0"/>
              <w:right w:val="single" w:color="auto" w:sz="4" w:space="0"/>
            </w:tcBorders>
            <w:tcMar>
              <w:top w:w="0" w:type="dxa"/>
              <w:left w:w="0" w:type="dxa"/>
              <w:bottom w:w="0" w:type="dxa"/>
              <w:right w:w="0" w:type="dxa"/>
            </w:tcMar>
            <w:vAlign w:val="center"/>
          </w:tcPr>
          <w:p>
            <w:pPr>
              <w:widowControl/>
              <w:spacing w:line="360" w:lineRule="exact"/>
              <w:jc w:val="center"/>
              <w:rPr>
                <w:rFonts w:ascii="仿宋_GB2312" w:hAnsi="仿宋_GB2312" w:eastAsia="仿宋_GB2312"/>
                <w:sz w:val="28"/>
                <w:szCs w:val="28"/>
              </w:rPr>
            </w:pPr>
            <w:r>
              <w:rPr>
                <w:rFonts w:hint="eastAsia" w:ascii="仿宋_GB2312" w:hAnsi="仿宋_GB2312" w:eastAsia="仿宋_GB2312"/>
                <w:sz w:val="28"/>
                <w:szCs w:val="28"/>
              </w:rPr>
              <w:t>利用公路（高速公路除外）桥梁、公路隧道、涵洞铺设电缆等设施审批</w:t>
            </w:r>
          </w:p>
        </w:tc>
        <w:tc>
          <w:tcPr>
            <w:tcW w:w="1416" w:type="dxa"/>
            <w:tcBorders>
              <w:top w:val="single" w:color="000000" w:sz="2" w:space="0"/>
              <w:left w:val="single" w:color="auto" w:sz="4" w:space="0"/>
              <w:bottom w:val="single" w:color="000000" w:sz="2" w:space="0"/>
              <w:right w:val="single" w:color="auto" w:sz="4" w:space="0"/>
            </w:tcBorders>
            <w:tcMar>
              <w:top w:w="0" w:type="dxa"/>
              <w:left w:w="0" w:type="dxa"/>
              <w:bottom w:w="0" w:type="dxa"/>
              <w:right w:w="0" w:type="dxa"/>
            </w:tcMar>
            <w:vAlign w:val="center"/>
          </w:tcPr>
          <w:p>
            <w:pPr>
              <w:widowControl/>
              <w:spacing w:line="360" w:lineRule="exact"/>
              <w:ind w:firstLine="280" w:firstLineChars="100"/>
              <w:jc w:val="center"/>
              <w:rPr>
                <w:rFonts w:ascii="仿宋_GB2312" w:hAnsi="仿宋_GB2312" w:eastAsia="仿宋_GB2312"/>
                <w:sz w:val="28"/>
                <w:szCs w:val="28"/>
              </w:rPr>
            </w:pPr>
            <w:r>
              <w:rPr>
                <w:rFonts w:hint="eastAsia" w:ascii="仿宋_GB2312" w:hAnsi="仿宋_GB2312" w:eastAsia="仿宋_GB2312"/>
                <w:sz w:val="28"/>
                <w:szCs w:val="28"/>
              </w:rPr>
              <w:t>行政许可</w:t>
            </w:r>
          </w:p>
        </w:tc>
        <w:tc>
          <w:tcPr>
            <w:tcW w:w="2261" w:type="dxa"/>
            <w:tcBorders>
              <w:top w:val="single" w:color="000000" w:sz="2" w:space="0"/>
              <w:left w:val="single" w:color="auto" w:sz="4" w:space="0"/>
              <w:bottom w:val="single" w:color="000000" w:sz="2" w:space="0"/>
              <w:right w:val="single" w:color="000000" w:sz="2" w:space="0"/>
            </w:tcBorders>
            <w:tcMar>
              <w:top w:w="0" w:type="dxa"/>
              <w:left w:w="0" w:type="dxa"/>
              <w:bottom w:w="0" w:type="dxa"/>
              <w:right w:w="0" w:type="dxa"/>
            </w:tcMar>
            <w:vAlign w:val="center"/>
          </w:tcPr>
          <w:p>
            <w:pPr>
              <w:widowControl/>
              <w:spacing w:line="360" w:lineRule="exact"/>
              <w:rPr>
                <w:rFonts w:ascii="仿宋_GB2312" w:hAnsi="仿宋_GB2312" w:eastAsia="仿宋_GB2312"/>
                <w:sz w:val="28"/>
                <w:szCs w:val="28"/>
              </w:rPr>
            </w:pPr>
            <w:r>
              <w:rPr>
                <w:rFonts w:hint="eastAsia" w:ascii="仿宋_GB2312" w:hAnsi="仿宋_GB2312" w:eastAsia="仿宋_GB2312"/>
                <w:sz w:val="28"/>
                <w:szCs w:val="28"/>
              </w:rPr>
              <w:t>行政许可申请书，技术评价报告</w:t>
            </w:r>
          </w:p>
        </w:tc>
        <w:tc>
          <w:tcPr>
            <w:tcW w:w="5736"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widowControl/>
              <w:spacing w:line="360" w:lineRule="exact"/>
              <w:rPr>
                <w:rFonts w:ascii="仿宋_GB2312" w:hAnsi="仿宋_GB2312" w:eastAsia="仿宋_GB2312"/>
                <w:sz w:val="28"/>
                <w:szCs w:val="28"/>
              </w:rPr>
            </w:pPr>
            <w:r>
              <w:rPr>
                <w:rFonts w:hint="eastAsia" w:ascii="仿宋_GB2312" w:hAnsi="仿宋_GB2312" w:eastAsia="仿宋_GB2312"/>
                <w:sz w:val="28"/>
                <w:szCs w:val="28"/>
              </w:rPr>
              <w:t>《中华人民共和国行政许可法》第二十九条</w:t>
            </w:r>
            <w:r>
              <w:rPr>
                <w:rFonts w:ascii="仿宋_GB2312" w:hAnsi="仿宋_GB2312" w:eastAsia="仿宋_GB2312"/>
                <w:sz w:val="28"/>
                <w:szCs w:val="28"/>
              </w:rPr>
              <w:t xml:space="preserve"> </w:t>
            </w:r>
            <w:r>
              <w:rPr>
                <w:rFonts w:hint="eastAsia" w:ascii="仿宋_GB2312" w:hAnsi="仿宋_GB2312" w:eastAsia="仿宋_GB2312"/>
                <w:sz w:val="28"/>
                <w:szCs w:val="28"/>
              </w:rPr>
              <w:t>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tc>
        <w:tc>
          <w:tcPr>
            <w:tcW w:w="105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仿宋" w:hAnsi="仿宋" w:eastAsia="仿宋" w:cs="仿宋"/>
                <w:sz w:val="28"/>
                <w:szCs w:val="28"/>
              </w:rPr>
            </w:pPr>
          </w:p>
        </w:tc>
        <w:tc>
          <w:tcPr>
            <w:tcW w:w="1053" w:type="dxa"/>
            <w:tcBorders>
              <w:top w:val="single" w:color="auto" w:sz="4" w:space="0"/>
              <w:left w:val="single" w:color="000000" w:sz="2" w:space="0"/>
              <w:bottom w:val="single" w:color="auto" w:sz="4"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仿宋" w:hAnsi="仿宋" w:eastAsia="仿宋" w:cs="仿宋"/>
                <w:sz w:val="28"/>
                <w:szCs w:val="28"/>
              </w:rPr>
            </w:pPr>
            <w:r>
              <w:rPr>
                <w:rFonts w:hint="eastAsia" w:ascii="仿宋" w:hAnsi="仿宋" w:eastAsia="仿宋" w:cs="仿宋"/>
                <w:sz w:val="28"/>
                <w:szCs w:val="28"/>
                <w:lang w:eastAsia="zh-CN"/>
              </w:rPr>
              <w:t>保留</w:t>
            </w:r>
          </w:p>
        </w:tc>
        <w:tc>
          <w:tcPr>
            <w:tcW w:w="2174" w:type="dxa"/>
            <w:tcBorders>
              <w:top w:val="single" w:color="auto" w:sz="4" w:space="0"/>
              <w:left w:val="single" w:color="000000" w:sz="2" w:space="0"/>
              <w:bottom w:val="single" w:color="auto" w:sz="4" w:space="0"/>
              <w:right w:val="single" w:color="000000" w:sz="2" w:space="0"/>
            </w:tcBorders>
            <w:vAlign w:val="center"/>
          </w:tcPr>
          <w:p>
            <w:pPr>
              <w:pStyle w:val="3"/>
              <w:widowControl/>
              <w:spacing w:before="0" w:beforeAutospacing="0" w:after="0" w:afterAutospacing="0" w:line="360" w:lineRule="exact"/>
              <w:jc w:val="center"/>
              <w:rPr>
                <w:rFonts w:ascii="仿宋" w:hAnsi="仿宋" w:eastAsia="仿宋" w:cs="仿宋"/>
                <w:sz w:val="28"/>
                <w:szCs w:val="28"/>
              </w:rPr>
            </w:pPr>
            <w:r>
              <w:rPr>
                <w:rFonts w:hint="eastAsia" w:ascii="仿宋" w:hAnsi="仿宋" w:eastAsia="仿宋" w:cs="仿宋"/>
                <w:sz w:val="28"/>
                <w:szCs w:val="28"/>
                <w:lang w:val="en-US" w:eastAsia="zh-CN"/>
              </w:rPr>
              <w:t>否</w:t>
            </w:r>
          </w:p>
        </w:tc>
      </w:tr>
      <w:tr>
        <w:tblPrEx>
          <w:tblCellMar>
            <w:top w:w="15" w:type="dxa"/>
            <w:left w:w="15" w:type="dxa"/>
            <w:bottom w:w="15" w:type="dxa"/>
            <w:right w:w="15" w:type="dxa"/>
          </w:tblCellMar>
        </w:tblPrEx>
        <w:trPr>
          <w:trHeight w:val="552" w:hRule="atLeast"/>
        </w:trPr>
        <w:tc>
          <w:tcPr>
            <w:tcW w:w="528"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widowControl/>
              <w:spacing w:line="360" w:lineRule="exact"/>
              <w:jc w:val="center"/>
              <w:rPr>
                <w:rFonts w:ascii="仿宋" w:hAnsi="仿宋" w:eastAsia="仿宋" w:cs="仿宋"/>
                <w:sz w:val="28"/>
                <w:szCs w:val="28"/>
              </w:rPr>
            </w:pPr>
          </w:p>
        </w:tc>
        <w:tc>
          <w:tcPr>
            <w:tcW w:w="1913" w:type="dxa"/>
            <w:tcBorders>
              <w:top w:val="single" w:color="auto" w:sz="4" w:space="0"/>
              <w:left w:val="single" w:color="000000" w:sz="2" w:space="0"/>
              <w:bottom w:val="single" w:color="auto" w:sz="4" w:space="0"/>
              <w:right w:val="single" w:color="auto" w:sz="4" w:space="0"/>
            </w:tcBorders>
            <w:tcMar>
              <w:top w:w="0" w:type="dxa"/>
              <w:left w:w="0" w:type="dxa"/>
              <w:bottom w:w="0" w:type="dxa"/>
              <w:right w:w="0" w:type="dxa"/>
            </w:tcMar>
            <w:vAlign w:val="center"/>
          </w:tcPr>
          <w:p>
            <w:pPr>
              <w:widowControl/>
              <w:spacing w:line="360" w:lineRule="exact"/>
              <w:jc w:val="center"/>
              <w:rPr>
                <w:rFonts w:ascii="仿宋_GB2312" w:hAnsi="仿宋_GB2312" w:eastAsia="仿宋_GB2312"/>
                <w:sz w:val="28"/>
                <w:szCs w:val="28"/>
              </w:rPr>
            </w:pPr>
            <w:r>
              <w:rPr>
                <w:rFonts w:hint="eastAsia" w:ascii="仿宋_GB2312" w:hAnsi="仿宋_GB2312" w:eastAsia="仿宋_GB2312"/>
                <w:sz w:val="28"/>
                <w:szCs w:val="28"/>
              </w:rPr>
              <w:t>跨越、穿越公路（高速公路除外）修建桥梁、渡槽或者架设、埋设管线等设施审批</w:t>
            </w:r>
          </w:p>
        </w:tc>
        <w:tc>
          <w:tcPr>
            <w:tcW w:w="1416" w:type="dxa"/>
            <w:tcBorders>
              <w:top w:val="single" w:color="000000" w:sz="2" w:space="0"/>
              <w:left w:val="single" w:color="auto" w:sz="4" w:space="0"/>
              <w:bottom w:val="single" w:color="000000" w:sz="2" w:space="0"/>
              <w:right w:val="single" w:color="auto" w:sz="4" w:space="0"/>
            </w:tcBorders>
            <w:tcMar>
              <w:top w:w="0" w:type="dxa"/>
              <w:left w:w="0" w:type="dxa"/>
              <w:bottom w:w="0" w:type="dxa"/>
              <w:right w:w="0" w:type="dxa"/>
            </w:tcMar>
            <w:vAlign w:val="center"/>
          </w:tcPr>
          <w:p>
            <w:pPr>
              <w:widowControl/>
              <w:spacing w:line="360" w:lineRule="exact"/>
              <w:ind w:firstLine="280" w:firstLineChars="100"/>
              <w:jc w:val="center"/>
              <w:rPr>
                <w:rFonts w:ascii="仿宋_GB2312" w:hAnsi="仿宋_GB2312" w:eastAsia="仿宋_GB2312"/>
                <w:sz w:val="28"/>
                <w:szCs w:val="28"/>
              </w:rPr>
            </w:pPr>
            <w:r>
              <w:rPr>
                <w:rFonts w:hint="eastAsia" w:ascii="仿宋_GB2312" w:hAnsi="仿宋_GB2312" w:eastAsia="仿宋_GB2312"/>
                <w:sz w:val="28"/>
                <w:szCs w:val="28"/>
              </w:rPr>
              <w:t>行政许可</w:t>
            </w:r>
          </w:p>
        </w:tc>
        <w:tc>
          <w:tcPr>
            <w:tcW w:w="2261" w:type="dxa"/>
            <w:tcBorders>
              <w:top w:val="single" w:color="000000" w:sz="2" w:space="0"/>
              <w:left w:val="single" w:color="auto" w:sz="4" w:space="0"/>
              <w:bottom w:val="single" w:color="000000" w:sz="2" w:space="0"/>
              <w:right w:val="single" w:color="000000" w:sz="2" w:space="0"/>
            </w:tcBorders>
            <w:tcMar>
              <w:top w:w="0" w:type="dxa"/>
              <w:left w:w="0" w:type="dxa"/>
              <w:bottom w:w="0" w:type="dxa"/>
              <w:right w:w="0" w:type="dxa"/>
            </w:tcMar>
            <w:vAlign w:val="center"/>
          </w:tcPr>
          <w:p>
            <w:pPr>
              <w:widowControl/>
              <w:spacing w:line="360" w:lineRule="exact"/>
              <w:rPr>
                <w:rFonts w:ascii="仿宋_GB2312" w:hAnsi="仿宋_GB2312" w:eastAsia="仿宋_GB2312"/>
                <w:sz w:val="28"/>
                <w:szCs w:val="28"/>
              </w:rPr>
            </w:pPr>
            <w:r>
              <w:rPr>
                <w:rFonts w:hint="eastAsia" w:ascii="仿宋_GB2312" w:hAnsi="仿宋_GB2312" w:eastAsia="仿宋_GB2312"/>
                <w:sz w:val="28"/>
                <w:szCs w:val="28"/>
              </w:rPr>
              <w:t>行政许可申请书，技术评价报告</w:t>
            </w:r>
          </w:p>
        </w:tc>
        <w:tc>
          <w:tcPr>
            <w:tcW w:w="5736"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widowControl/>
              <w:spacing w:line="360" w:lineRule="exact"/>
              <w:rPr>
                <w:rFonts w:ascii="仿宋_GB2312" w:hAnsi="仿宋_GB2312" w:eastAsia="仿宋_GB2312"/>
                <w:sz w:val="28"/>
                <w:szCs w:val="28"/>
              </w:rPr>
            </w:pPr>
            <w:r>
              <w:rPr>
                <w:rFonts w:hint="eastAsia" w:ascii="仿宋_GB2312" w:hAnsi="仿宋_GB2312" w:eastAsia="仿宋_GB2312"/>
                <w:sz w:val="28"/>
                <w:szCs w:val="28"/>
              </w:rPr>
              <w:t>《中华人民共和国行政许可法》第二十九条</w:t>
            </w:r>
            <w:r>
              <w:rPr>
                <w:rFonts w:ascii="仿宋_GB2312" w:hAnsi="仿宋_GB2312" w:eastAsia="仿宋_GB2312"/>
                <w:sz w:val="28"/>
                <w:szCs w:val="28"/>
              </w:rPr>
              <w:t xml:space="preserve"> </w:t>
            </w:r>
            <w:r>
              <w:rPr>
                <w:rFonts w:hint="eastAsia" w:ascii="仿宋_GB2312" w:hAnsi="仿宋_GB2312" w:eastAsia="仿宋_GB2312"/>
                <w:sz w:val="28"/>
                <w:szCs w:val="28"/>
              </w:rPr>
              <w:t>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tc>
        <w:tc>
          <w:tcPr>
            <w:tcW w:w="105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仿宋" w:hAnsi="仿宋" w:eastAsia="仿宋" w:cs="仿宋"/>
                <w:sz w:val="28"/>
                <w:szCs w:val="28"/>
              </w:rPr>
            </w:pPr>
          </w:p>
        </w:tc>
        <w:tc>
          <w:tcPr>
            <w:tcW w:w="1053" w:type="dxa"/>
            <w:tcBorders>
              <w:top w:val="single" w:color="auto" w:sz="4" w:space="0"/>
              <w:left w:val="single" w:color="000000" w:sz="2" w:space="0"/>
              <w:bottom w:val="single" w:color="auto" w:sz="4"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仿宋" w:hAnsi="仿宋" w:eastAsia="仿宋" w:cs="仿宋"/>
                <w:sz w:val="28"/>
                <w:szCs w:val="28"/>
              </w:rPr>
            </w:pPr>
            <w:r>
              <w:rPr>
                <w:rFonts w:hint="eastAsia" w:ascii="仿宋" w:hAnsi="仿宋" w:eastAsia="仿宋" w:cs="仿宋"/>
                <w:sz w:val="28"/>
                <w:szCs w:val="28"/>
                <w:lang w:eastAsia="zh-CN"/>
              </w:rPr>
              <w:t>保留</w:t>
            </w:r>
          </w:p>
        </w:tc>
        <w:tc>
          <w:tcPr>
            <w:tcW w:w="2174" w:type="dxa"/>
            <w:tcBorders>
              <w:top w:val="single" w:color="auto" w:sz="4" w:space="0"/>
              <w:left w:val="single" w:color="000000" w:sz="2" w:space="0"/>
              <w:bottom w:val="single" w:color="auto" w:sz="4" w:space="0"/>
              <w:right w:val="single" w:color="000000" w:sz="2" w:space="0"/>
            </w:tcBorders>
            <w:vAlign w:val="center"/>
          </w:tcPr>
          <w:p>
            <w:pPr>
              <w:pStyle w:val="3"/>
              <w:widowControl/>
              <w:spacing w:before="0" w:beforeAutospacing="0" w:after="0" w:afterAutospacing="0" w:line="360" w:lineRule="exact"/>
              <w:jc w:val="center"/>
              <w:rPr>
                <w:rFonts w:ascii="仿宋" w:hAnsi="仿宋" w:eastAsia="仿宋" w:cs="仿宋"/>
                <w:sz w:val="28"/>
                <w:szCs w:val="28"/>
              </w:rPr>
            </w:pPr>
            <w:r>
              <w:rPr>
                <w:rFonts w:hint="eastAsia" w:ascii="仿宋" w:hAnsi="仿宋" w:eastAsia="仿宋" w:cs="仿宋"/>
                <w:sz w:val="28"/>
                <w:szCs w:val="28"/>
                <w:lang w:val="en-US" w:eastAsia="zh-CN"/>
              </w:rPr>
              <w:t>否</w:t>
            </w:r>
          </w:p>
        </w:tc>
      </w:tr>
      <w:tr>
        <w:tblPrEx>
          <w:tblCellMar>
            <w:top w:w="15" w:type="dxa"/>
            <w:left w:w="15" w:type="dxa"/>
            <w:bottom w:w="15" w:type="dxa"/>
            <w:right w:w="15" w:type="dxa"/>
          </w:tblCellMar>
        </w:tblPrEx>
        <w:trPr>
          <w:trHeight w:val="3053" w:hRule="atLeast"/>
        </w:trPr>
        <w:tc>
          <w:tcPr>
            <w:tcW w:w="528"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widowControl/>
              <w:spacing w:line="360" w:lineRule="exact"/>
              <w:jc w:val="center"/>
              <w:rPr>
                <w:rFonts w:ascii="仿宋" w:hAnsi="仿宋" w:eastAsia="仿宋" w:cs="仿宋"/>
                <w:sz w:val="28"/>
                <w:szCs w:val="28"/>
              </w:rPr>
            </w:pPr>
          </w:p>
        </w:tc>
        <w:tc>
          <w:tcPr>
            <w:tcW w:w="1913" w:type="dxa"/>
            <w:tcBorders>
              <w:top w:val="single" w:color="auto" w:sz="4" w:space="0"/>
              <w:left w:val="single" w:color="000000" w:sz="2" w:space="0"/>
              <w:bottom w:val="single" w:color="auto" w:sz="4" w:space="0"/>
              <w:right w:val="single" w:color="auto" w:sz="4" w:space="0"/>
            </w:tcBorders>
            <w:tcMar>
              <w:top w:w="0" w:type="dxa"/>
              <w:left w:w="0" w:type="dxa"/>
              <w:bottom w:w="0" w:type="dxa"/>
              <w:right w:w="0" w:type="dxa"/>
            </w:tcMar>
            <w:vAlign w:val="center"/>
          </w:tcPr>
          <w:p>
            <w:pPr>
              <w:widowControl/>
              <w:spacing w:line="360" w:lineRule="exact"/>
              <w:jc w:val="center"/>
              <w:rPr>
                <w:rFonts w:ascii="仿宋_GB2312" w:hAnsi="仿宋_GB2312" w:eastAsia="仿宋_GB2312"/>
                <w:sz w:val="28"/>
                <w:szCs w:val="28"/>
              </w:rPr>
            </w:pPr>
            <w:r>
              <w:rPr>
                <w:rFonts w:hint="eastAsia" w:ascii="仿宋_GB2312" w:hAnsi="仿宋_GB2312" w:eastAsia="仿宋_GB2312"/>
                <w:sz w:val="28"/>
                <w:szCs w:val="28"/>
              </w:rPr>
              <w:t>在公路（高速公路除外）用地范围内架设、埋设管线、电缆等设施</w:t>
            </w:r>
          </w:p>
        </w:tc>
        <w:tc>
          <w:tcPr>
            <w:tcW w:w="1416" w:type="dxa"/>
            <w:tcBorders>
              <w:top w:val="single" w:color="000000" w:sz="2" w:space="0"/>
              <w:left w:val="single" w:color="auto" w:sz="4" w:space="0"/>
              <w:bottom w:val="single" w:color="000000" w:sz="2" w:space="0"/>
              <w:right w:val="single" w:color="auto" w:sz="4" w:space="0"/>
            </w:tcBorders>
            <w:tcMar>
              <w:top w:w="0" w:type="dxa"/>
              <w:left w:w="0" w:type="dxa"/>
              <w:bottom w:w="0" w:type="dxa"/>
              <w:right w:w="0" w:type="dxa"/>
            </w:tcMar>
            <w:vAlign w:val="center"/>
          </w:tcPr>
          <w:p>
            <w:pPr>
              <w:widowControl/>
              <w:spacing w:line="360" w:lineRule="exact"/>
              <w:ind w:firstLine="280" w:firstLineChars="100"/>
              <w:jc w:val="center"/>
              <w:rPr>
                <w:rFonts w:ascii="仿宋_GB2312" w:hAnsi="仿宋_GB2312" w:eastAsia="仿宋_GB2312"/>
                <w:sz w:val="28"/>
                <w:szCs w:val="28"/>
              </w:rPr>
            </w:pPr>
            <w:r>
              <w:rPr>
                <w:rFonts w:hint="eastAsia" w:ascii="仿宋_GB2312" w:hAnsi="仿宋_GB2312" w:eastAsia="仿宋_GB2312"/>
                <w:sz w:val="28"/>
                <w:szCs w:val="28"/>
              </w:rPr>
              <w:t>行政许可</w:t>
            </w:r>
          </w:p>
        </w:tc>
        <w:tc>
          <w:tcPr>
            <w:tcW w:w="2261" w:type="dxa"/>
            <w:tcBorders>
              <w:top w:val="single" w:color="000000" w:sz="2" w:space="0"/>
              <w:left w:val="single" w:color="auto" w:sz="4" w:space="0"/>
              <w:bottom w:val="single" w:color="000000" w:sz="2" w:space="0"/>
              <w:right w:val="single" w:color="000000" w:sz="2" w:space="0"/>
            </w:tcBorders>
            <w:tcMar>
              <w:top w:w="0" w:type="dxa"/>
              <w:left w:w="0" w:type="dxa"/>
              <w:bottom w:w="0" w:type="dxa"/>
              <w:right w:w="0" w:type="dxa"/>
            </w:tcMar>
            <w:vAlign w:val="center"/>
          </w:tcPr>
          <w:p>
            <w:pPr>
              <w:widowControl/>
              <w:spacing w:line="360" w:lineRule="exact"/>
              <w:rPr>
                <w:rFonts w:ascii="仿宋_GB2312" w:hAnsi="仿宋_GB2312" w:eastAsia="仿宋_GB2312"/>
                <w:sz w:val="28"/>
                <w:szCs w:val="28"/>
              </w:rPr>
            </w:pPr>
            <w:r>
              <w:rPr>
                <w:rFonts w:hint="eastAsia" w:ascii="仿宋_GB2312" w:hAnsi="仿宋_GB2312" w:eastAsia="仿宋_GB2312"/>
                <w:sz w:val="28"/>
                <w:szCs w:val="28"/>
              </w:rPr>
              <w:t>行政许可申请书，技术评价报告</w:t>
            </w:r>
          </w:p>
        </w:tc>
        <w:tc>
          <w:tcPr>
            <w:tcW w:w="5736"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widowControl/>
              <w:spacing w:line="360" w:lineRule="exact"/>
              <w:rPr>
                <w:rFonts w:ascii="仿宋_GB2312" w:hAnsi="仿宋_GB2312" w:eastAsia="仿宋_GB2312"/>
                <w:sz w:val="28"/>
                <w:szCs w:val="28"/>
              </w:rPr>
            </w:pPr>
            <w:r>
              <w:rPr>
                <w:rFonts w:hint="eastAsia" w:ascii="仿宋_GB2312" w:hAnsi="仿宋_GB2312" w:eastAsia="仿宋_GB2312"/>
                <w:sz w:val="28"/>
                <w:szCs w:val="28"/>
              </w:rPr>
              <w:t>《中华人民共和国行政许可法》第二十九条</w:t>
            </w:r>
            <w:r>
              <w:rPr>
                <w:rFonts w:ascii="仿宋_GB2312" w:hAnsi="仿宋_GB2312" w:eastAsia="仿宋_GB2312"/>
                <w:sz w:val="28"/>
                <w:szCs w:val="28"/>
              </w:rPr>
              <w:t xml:space="preserve"> </w:t>
            </w:r>
            <w:r>
              <w:rPr>
                <w:rFonts w:hint="eastAsia" w:ascii="仿宋_GB2312" w:hAnsi="仿宋_GB2312" w:eastAsia="仿宋_GB2312"/>
                <w:sz w:val="28"/>
                <w:szCs w:val="28"/>
              </w:rPr>
              <w:t>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tc>
        <w:tc>
          <w:tcPr>
            <w:tcW w:w="105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仿宋" w:hAnsi="仿宋" w:eastAsia="仿宋" w:cs="仿宋"/>
                <w:sz w:val="28"/>
                <w:szCs w:val="28"/>
              </w:rPr>
            </w:pPr>
          </w:p>
        </w:tc>
        <w:tc>
          <w:tcPr>
            <w:tcW w:w="1053" w:type="dxa"/>
            <w:tcBorders>
              <w:top w:val="single" w:color="auto" w:sz="4" w:space="0"/>
              <w:left w:val="single" w:color="000000" w:sz="2" w:space="0"/>
              <w:bottom w:val="single" w:color="auto" w:sz="4"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仿宋" w:hAnsi="仿宋" w:eastAsia="仿宋" w:cs="仿宋"/>
                <w:sz w:val="28"/>
                <w:szCs w:val="28"/>
              </w:rPr>
            </w:pPr>
            <w:r>
              <w:rPr>
                <w:rFonts w:hint="eastAsia" w:ascii="仿宋" w:hAnsi="仿宋" w:eastAsia="仿宋" w:cs="仿宋"/>
                <w:sz w:val="28"/>
                <w:szCs w:val="28"/>
                <w:lang w:eastAsia="zh-CN"/>
              </w:rPr>
              <w:t>保留</w:t>
            </w:r>
          </w:p>
        </w:tc>
        <w:tc>
          <w:tcPr>
            <w:tcW w:w="2174" w:type="dxa"/>
            <w:tcBorders>
              <w:top w:val="single" w:color="auto" w:sz="4" w:space="0"/>
              <w:left w:val="single" w:color="000000" w:sz="2" w:space="0"/>
              <w:bottom w:val="single" w:color="auto" w:sz="4" w:space="0"/>
              <w:right w:val="single" w:color="000000" w:sz="2" w:space="0"/>
            </w:tcBorders>
            <w:vAlign w:val="center"/>
          </w:tcPr>
          <w:p>
            <w:pPr>
              <w:pStyle w:val="3"/>
              <w:widowControl/>
              <w:spacing w:before="0" w:beforeAutospacing="0" w:after="0" w:afterAutospacing="0" w:line="360" w:lineRule="exact"/>
              <w:jc w:val="center"/>
              <w:rPr>
                <w:rFonts w:ascii="仿宋" w:hAnsi="仿宋" w:eastAsia="仿宋" w:cs="仿宋"/>
                <w:sz w:val="28"/>
                <w:szCs w:val="28"/>
              </w:rPr>
            </w:pPr>
            <w:r>
              <w:rPr>
                <w:rFonts w:hint="eastAsia" w:ascii="仿宋" w:hAnsi="仿宋" w:eastAsia="仿宋" w:cs="仿宋"/>
                <w:sz w:val="28"/>
                <w:szCs w:val="28"/>
                <w:lang w:val="en-US" w:eastAsia="zh-CN"/>
              </w:rPr>
              <w:t>否</w:t>
            </w:r>
          </w:p>
        </w:tc>
      </w:tr>
      <w:tr>
        <w:tblPrEx>
          <w:tblCellMar>
            <w:top w:w="15" w:type="dxa"/>
            <w:left w:w="15" w:type="dxa"/>
            <w:bottom w:w="15" w:type="dxa"/>
            <w:right w:w="15" w:type="dxa"/>
          </w:tblCellMar>
        </w:tblPrEx>
        <w:trPr>
          <w:trHeight w:val="552" w:hRule="atLeast"/>
        </w:trPr>
        <w:tc>
          <w:tcPr>
            <w:tcW w:w="528"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widowControl/>
              <w:spacing w:line="360" w:lineRule="exact"/>
              <w:jc w:val="center"/>
              <w:rPr>
                <w:rFonts w:ascii="仿宋" w:hAnsi="仿宋" w:eastAsia="仿宋" w:cs="仿宋"/>
                <w:sz w:val="28"/>
                <w:szCs w:val="28"/>
              </w:rPr>
            </w:pPr>
          </w:p>
        </w:tc>
        <w:tc>
          <w:tcPr>
            <w:tcW w:w="1913" w:type="dxa"/>
            <w:tcBorders>
              <w:top w:val="single" w:color="auto" w:sz="4" w:space="0"/>
              <w:left w:val="single" w:color="000000" w:sz="2" w:space="0"/>
              <w:bottom w:val="single" w:color="auto" w:sz="4" w:space="0"/>
              <w:right w:val="single" w:color="auto" w:sz="4" w:space="0"/>
            </w:tcBorders>
            <w:tcMar>
              <w:top w:w="0" w:type="dxa"/>
              <w:left w:w="0" w:type="dxa"/>
              <w:bottom w:w="0" w:type="dxa"/>
              <w:right w:w="0" w:type="dxa"/>
            </w:tcMar>
            <w:vAlign w:val="center"/>
          </w:tcPr>
          <w:p>
            <w:pPr>
              <w:widowControl/>
              <w:spacing w:line="360" w:lineRule="exact"/>
              <w:jc w:val="center"/>
              <w:rPr>
                <w:rFonts w:ascii="仿宋_GB2312" w:hAnsi="仿宋_GB2312" w:eastAsia="仿宋_GB2312"/>
                <w:sz w:val="28"/>
                <w:szCs w:val="28"/>
              </w:rPr>
            </w:pPr>
            <w:r>
              <w:rPr>
                <w:rFonts w:hint="eastAsia" w:ascii="仿宋_GB2312" w:hAnsi="仿宋_GB2312" w:eastAsia="仿宋_GB2312"/>
                <w:sz w:val="28"/>
                <w:szCs w:val="28"/>
              </w:rPr>
              <w:t>占用、挖掘公路</w:t>
            </w:r>
            <w:r>
              <w:rPr>
                <w:rFonts w:ascii="仿宋_GB2312" w:hAnsi="仿宋_GB2312" w:eastAsia="仿宋_GB2312"/>
                <w:sz w:val="28"/>
                <w:szCs w:val="28"/>
              </w:rPr>
              <w:t>(</w:t>
            </w:r>
            <w:r>
              <w:rPr>
                <w:rFonts w:hint="eastAsia" w:ascii="仿宋_GB2312" w:hAnsi="仿宋_GB2312" w:eastAsia="仿宋_GB2312"/>
                <w:sz w:val="28"/>
                <w:szCs w:val="28"/>
              </w:rPr>
              <w:t>高速公路除外</w:t>
            </w:r>
            <w:r>
              <w:rPr>
                <w:rFonts w:ascii="仿宋_GB2312" w:hAnsi="仿宋_GB2312" w:eastAsia="仿宋_GB2312"/>
                <w:sz w:val="28"/>
                <w:szCs w:val="28"/>
              </w:rPr>
              <w:t>)</w:t>
            </w:r>
            <w:r>
              <w:rPr>
                <w:rFonts w:hint="eastAsia" w:ascii="仿宋_GB2312" w:hAnsi="仿宋_GB2312" w:eastAsia="仿宋_GB2312"/>
                <w:sz w:val="28"/>
                <w:szCs w:val="28"/>
              </w:rPr>
              <w:t>、公路用地或者使公路改线审批</w:t>
            </w:r>
          </w:p>
        </w:tc>
        <w:tc>
          <w:tcPr>
            <w:tcW w:w="1416" w:type="dxa"/>
            <w:tcBorders>
              <w:top w:val="single" w:color="000000" w:sz="2" w:space="0"/>
              <w:left w:val="single" w:color="auto" w:sz="4" w:space="0"/>
              <w:bottom w:val="single" w:color="000000" w:sz="2" w:space="0"/>
              <w:right w:val="single" w:color="auto" w:sz="4" w:space="0"/>
            </w:tcBorders>
            <w:tcMar>
              <w:top w:w="0" w:type="dxa"/>
              <w:left w:w="0" w:type="dxa"/>
              <w:bottom w:w="0" w:type="dxa"/>
              <w:right w:w="0" w:type="dxa"/>
            </w:tcMar>
            <w:vAlign w:val="center"/>
          </w:tcPr>
          <w:p>
            <w:pPr>
              <w:widowControl/>
              <w:spacing w:line="360" w:lineRule="exact"/>
              <w:ind w:firstLine="280" w:firstLineChars="100"/>
              <w:jc w:val="center"/>
              <w:rPr>
                <w:rFonts w:ascii="仿宋_GB2312" w:hAnsi="仿宋_GB2312" w:eastAsia="仿宋_GB2312"/>
                <w:sz w:val="28"/>
                <w:szCs w:val="28"/>
              </w:rPr>
            </w:pPr>
            <w:r>
              <w:rPr>
                <w:rFonts w:hint="eastAsia" w:ascii="仿宋_GB2312" w:hAnsi="仿宋_GB2312" w:eastAsia="仿宋_GB2312"/>
                <w:sz w:val="28"/>
                <w:szCs w:val="28"/>
              </w:rPr>
              <w:t>行政许可</w:t>
            </w:r>
          </w:p>
        </w:tc>
        <w:tc>
          <w:tcPr>
            <w:tcW w:w="2261" w:type="dxa"/>
            <w:tcBorders>
              <w:top w:val="single" w:color="000000" w:sz="2" w:space="0"/>
              <w:left w:val="single" w:color="auto" w:sz="4" w:space="0"/>
              <w:bottom w:val="single" w:color="000000" w:sz="2" w:space="0"/>
              <w:right w:val="single" w:color="000000" w:sz="2" w:space="0"/>
            </w:tcBorders>
            <w:tcMar>
              <w:top w:w="0" w:type="dxa"/>
              <w:left w:w="0" w:type="dxa"/>
              <w:bottom w:w="0" w:type="dxa"/>
              <w:right w:w="0" w:type="dxa"/>
            </w:tcMar>
            <w:vAlign w:val="center"/>
          </w:tcPr>
          <w:p>
            <w:pPr>
              <w:widowControl/>
              <w:spacing w:line="360" w:lineRule="exact"/>
              <w:rPr>
                <w:rFonts w:ascii="仿宋_GB2312" w:hAnsi="仿宋_GB2312" w:eastAsia="仿宋_GB2312"/>
                <w:sz w:val="28"/>
                <w:szCs w:val="28"/>
              </w:rPr>
            </w:pPr>
            <w:r>
              <w:rPr>
                <w:rFonts w:hint="eastAsia" w:ascii="仿宋_GB2312" w:hAnsi="仿宋_GB2312" w:eastAsia="仿宋_GB2312"/>
                <w:sz w:val="28"/>
                <w:szCs w:val="28"/>
              </w:rPr>
              <w:t>行政许可申请书，技术评价报告</w:t>
            </w:r>
          </w:p>
        </w:tc>
        <w:tc>
          <w:tcPr>
            <w:tcW w:w="5736"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widowControl/>
              <w:spacing w:line="360" w:lineRule="exact"/>
              <w:rPr>
                <w:rFonts w:ascii="仿宋_GB2312" w:hAnsi="仿宋_GB2312" w:eastAsia="仿宋_GB2312"/>
                <w:sz w:val="28"/>
                <w:szCs w:val="28"/>
              </w:rPr>
            </w:pPr>
            <w:r>
              <w:rPr>
                <w:rFonts w:hint="eastAsia" w:ascii="仿宋_GB2312" w:hAnsi="仿宋_GB2312" w:eastAsia="仿宋_GB2312"/>
                <w:sz w:val="28"/>
                <w:szCs w:val="28"/>
              </w:rPr>
              <w:t>《中华人民共和国行政许可法》第二十九条</w:t>
            </w:r>
            <w:r>
              <w:rPr>
                <w:rFonts w:ascii="仿宋_GB2312" w:hAnsi="仿宋_GB2312" w:eastAsia="仿宋_GB2312"/>
                <w:sz w:val="28"/>
                <w:szCs w:val="28"/>
              </w:rPr>
              <w:t xml:space="preserve"> </w:t>
            </w:r>
            <w:r>
              <w:rPr>
                <w:rFonts w:hint="eastAsia" w:ascii="仿宋_GB2312" w:hAnsi="仿宋_GB2312" w:eastAsia="仿宋_GB2312"/>
                <w:sz w:val="28"/>
                <w:szCs w:val="28"/>
              </w:rPr>
              <w:t>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tc>
        <w:tc>
          <w:tcPr>
            <w:tcW w:w="105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仿宋" w:hAnsi="仿宋" w:eastAsia="仿宋" w:cs="仿宋"/>
                <w:sz w:val="28"/>
                <w:szCs w:val="28"/>
              </w:rPr>
            </w:pPr>
          </w:p>
        </w:tc>
        <w:tc>
          <w:tcPr>
            <w:tcW w:w="1053" w:type="dxa"/>
            <w:tcBorders>
              <w:top w:val="single" w:color="auto" w:sz="4" w:space="0"/>
              <w:left w:val="single" w:color="000000" w:sz="2" w:space="0"/>
              <w:bottom w:val="single" w:color="auto" w:sz="4"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仿宋" w:hAnsi="仿宋" w:eastAsia="仿宋" w:cs="仿宋"/>
                <w:sz w:val="28"/>
                <w:szCs w:val="28"/>
              </w:rPr>
            </w:pPr>
            <w:r>
              <w:rPr>
                <w:rFonts w:hint="eastAsia" w:ascii="仿宋" w:hAnsi="仿宋" w:eastAsia="仿宋" w:cs="仿宋"/>
                <w:sz w:val="28"/>
                <w:szCs w:val="28"/>
                <w:lang w:eastAsia="zh-CN"/>
              </w:rPr>
              <w:t>保留</w:t>
            </w:r>
          </w:p>
        </w:tc>
        <w:tc>
          <w:tcPr>
            <w:tcW w:w="2174" w:type="dxa"/>
            <w:tcBorders>
              <w:top w:val="single" w:color="auto" w:sz="4" w:space="0"/>
              <w:left w:val="single" w:color="000000" w:sz="2" w:space="0"/>
              <w:bottom w:val="single" w:color="auto" w:sz="4" w:space="0"/>
              <w:right w:val="single" w:color="000000" w:sz="2" w:space="0"/>
            </w:tcBorders>
            <w:vAlign w:val="center"/>
          </w:tcPr>
          <w:p>
            <w:pPr>
              <w:pStyle w:val="3"/>
              <w:widowControl/>
              <w:spacing w:before="0" w:beforeAutospacing="0" w:after="0" w:afterAutospacing="0" w:line="360" w:lineRule="exact"/>
              <w:jc w:val="center"/>
              <w:rPr>
                <w:rFonts w:ascii="仿宋" w:hAnsi="仿宋" w:eastAsia="仿宋" w:cs="仿宋"/>
                <w:sz w:val="28"/>
                <w:szCs w:val="28"/>
              </w:rPr>
            </w:pPr>
            <w:r>
              <w:rPr>
                <w:rFonts w:hint="eastAsia" w:ascii="仿宋" w:hAnsi="仿宋" w:eastAsia="仿宋" w:cs="仿宋"/>
                <w:sz w:val="28"/>
                <w:szCs w:val="28"/>
                <w:lang w:val="en-US" w:eastAsia="zh-CN"/>
              </w:rPr>
              <w:t>否</w:t>
            </w:r>
          </w:p>
        </w:tc>
      </w:tr>
      <w:tr>
        <w:tblPrEx>
          <w:tblCellMar>
            <w:top w:w="15" w:type="dxa"/>
            <w:left w:w="15" w:type="dxa"/>
            <w:bottom w:w="15" w:type="dxa"/>
            <w:right w:w="15" w:type="dxa"/>
          </w:tblCellMar>
        </w:tblPrEx>
        <w:trPr>
          <w:trHeight w:val="552" w:hRule="atLeast"/>
        </w:trPr>
        <w:tc>
          <w:tcPr>
            <w:tcW w:w="528"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widowControl/>
              <w:spacing w:line="360" w:lineRule="exact"/>
              <w:jc w:val="center"/>
              <w:rPr>
                <w:rFonts w:ascii="仿宋" w:hAnsi="仿宋" w:eastAsia="仿宋" w:cs="仿宋"/>
                <w:sz w:val="28"/>
                <w:szCs w:val="28"/>
              </w:rPr>
            </w:pPr>
          </w:p>
        </w:tc>
        <w:tc>
          <w:tcPr>
            <w:tcW w:w="1913" w:type="dxa"/>
            <w:tcBorders>
              <w:top w:val="single" w:color="auto" w:sz="4" w:space="0"/>
              <w:left w:val="single" w:color="000000" w:sz="2" w:space="0"/>
              <w:bottom w:val="single" w:color="auto" w:sz="4" w:space="0"/>
              <w:right w:val="single" w:color="auto" w:sz="4" w:space="0"/>
            </w:tcBorders>
            <w:tcMar>
              <w:top w:w="0" w:type="dxa"/>
              <w:left w:w="0" w:type="dxa"/>
              <w:bottom w:w="0" w:type="dxa"/>
              <w:right w:w="0" w:type="dxa"/>
            </w:tcMar>
            <w:vAlign w:val="center"/>
          </w:tcPr>
          <w:p>
            <w:pPr>
              <w:widowControl/>
              <w:spacing w:line="360" w:lineRule="exact"/>
              <w:jc w:val="center"/>
              <w:rPr>
                <w:rFonts w:ascii="仿宋_GB2312" w:hAnsi="仿宋_GB2312" w:eastAsia="仿宋_GB2312"/>
                <w:sz w:val="28"/>
                <w:szCs w:val="28"/>
              </w:rPr>
            </w:pPr>
            <w:r>
              <w:rPr>
                <w:rFonts w:hint="eastAsia" w:ascii="仿宋_GB2312" w:hAnsi="仿宋_GB2312" w:eastAsia="仿宋_GB2312"/>
                <w:sz w:val="28"/>
                <w:szCs w:val="28"/>
              </w:rPr>
              <w:t>道路货物运输经营者变更名称、地址</w:t>
            </w:r>
          </w:p>
        </w:tc>
        <w:tc>
          <w:tcPr>
            <w:tcW w:w="1416" w:type="dxa"/>
            <w:tcBorders>
              <w:top w:val="single" w:color="000000" w:sz="2" w:space="0"/>
              <w:left w:val="single" w:color="auto" w:sz="4" w:space="0"/>
              <w:bottom w:val="single" w:color="000000" w:sz="2" w:space="0"/>
              <w:right w:val="single" w:color="auto" w:sz="4" w:space="0"/>
            </w:tcBorders>
            <w:tcMar>
              <w:top w:w="0" w:type="dxa"/>
              <w:left w:w="0" w:type="dxa"/>
              <w:bottom w:w="0" w:type="dxa"/>
              <w:right w:w="0" w:type="dxa"/>
            </w:tcMar>
            <w:vAlign w:val="center"/>
          </w:tcPr>
          <w:p>
            <w:pPr>
              <w:widowControl/>
              <w:spacing w:line="360" w:lineRule="exact"/>
              <w:ind w:firstLine="280" w:firstLineChars="100"/>
              <w:jc w:val="center"/>
              <w:rPr>
                <w:rFonts w:ascii="仿宋_GB2312" w:hAnsi="仿宋_GB2312" w:eastAsia="仿宋_GB2312"/>
                <w:sz w:val="28"/>
                <w:szCs w:val="28"/>
              </w:rPr>
            </w:pPr>
            <w:r>
              <w:rPr>
                <w:rFonts w:hint="eastAsia" w:ascii="仿宋_GB2312" w:hAnsi="仿宋_GB2312" w:eastAsia="仿宋_GB2312"/>
                <w:sz w:val="28"/>
                <w:szCs w:val="28"/>
              </w:rPr>
              <w:t>行政许可</w:t>
            </w:r>
          </w:p>
        </w:tc>
        <w:tc>
          <w:tcPr>
            <w:tcW w:w="2261" w:type="dxa"/>
            <w:tcBorders>
              <w:top w:val="single" w:color="000000" w:sz="2" w:space="0"/>
              <w:left w:val="single" w:color="auto" w:sz="4" w:space="0"/>
              <w:bottom w:val="single" w:color="000000" w:sz="2" w:space="0"/>
              <w:right w:val="single" w:color="000000" w:sz="2" w:space="0"/>
            </w:tcBorders>
            <w:tcMar>
              <w:top w:w="0" w:type="dxa"/>
              <w:left w:w="0" w:type="dxa"/>
              <w:bottom w:w="0" w:type="dxa"/>
              <w:right w:w="0" w:type="dxa"/>
            </w:tcMar>
            <w:vAlign w:val="center"/>
          </w:tcPr>
          <w:p>
            <w:pPr>
              <w:widowControl/>
              <w:spacing w:line="360" w:lineRule="exact"/>
              <w:rPr>
                <w:rFonts w:ascii="仿宋_GB2312" w:hAnsi="仿宋_GB2312" w:eastAsia="仿宋_GB2312"/>
                <w:sz w:val="28"/>
                <w:szCs w:val="28"/>
              </w:rPr>
            </w:pPr>
            <w:r>
              <w:rPr>
                <w:rFonts w:hint="eastAsia" w:ascii="仿宋_GB2312" w:hAnsi="仿宋_GB2312" w:eastAsia="仿宋_GB2312"/>
                <w:sz w:val="28"/>
                <w:szCs w:val="28"/>
              </w:rPr>
              <w:t>道路运输经营者变更备案登记表</w:t>
            </w:r>
          </w:p>
        </w:tc>
        <w:tc>
          <w:tcPr>
            <w:tcW w:w="5736"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widowControl/>
              <w:spacing w:line="360" w:lineRule="exact"/>
              <w:rPr>
                <w:rFonts w:ascii="仿宋_GB2312" w:hAnsi="仿宋_GB2312" w:eastAsia="仿宋_GB2312"/>
                <w:sz w:val="28"/>
                <w:szCs w:val="28"/>
              </w:rPr>
            </w:pPr>
            <w:r>
              <w:rPr>
                <w:rFonts w:hint="eastAsia" w:ascii="仿宋_GB2312" w:hAnsi="仿宋_GB2312" w:eastAsia="仿宋_GB2312"/>
                <w:w w:val="80"/>
                <w:sz w:val="21"/>
                <w:szCs w:val="21"/>
              </w:rPr>
              <w:t>交通运输部《道路运输管理工作规范》（交运便字〔</w:t>
            </w:r>
            <w:r>
              <w:rPr>
                <w:rFonts w:ascii="仿宋_GB2312" w:hAnsi="仿宋_GB2312" w:eastAsia="仿宋_GB2312"/>
                <w:w w:val="80"/>
                <w:sz w:val="21"/>
                <w:szCs w:val="21"/>
              </w:rPr>
              <w:t>2014</w:t>
            </w:r>
            <w:r>
              <w:rPr>
                <w:rFonts w:hint="eastAsia" w:ascii="仿宋_GB2312" w:hAnsi="仿宋_GB2312" w:eastAsia="仿宋_GB2312"/>
                <w:w w:val="80"/>
                <w:sz w:val="21"/>
                <w:szCs w:val="21"/>
              </w:rPr>
              <w:t>〕</w:t>
            </w:r>
            <w:r>
              <w:rPr>
                <w:rFonts w:ascii="仿宋_GB2312" w:hAnsi="仿宋_GB2312" w:eastAsia="仿宋_GB2312"/>
                <w:w w:val="80"/>
                <w:sz w:val="21"/>
                <w:szCs w:val="21"/>
              </w:rPr>
              <w:t>181</w:t>
            </w:r>
            <w:r>
              <w:rPr>
                <w:rFonts w:hint="eastAsia" w:ascii="仿宋_GB2312" w:hAnsi="仿宋_GB2312" w:eastAsia="仿宋_GB2312"/>
                <w:w w:val="80"/>
                <w:sz w:val="21"/>
                <w:szCs w:val="21"/>
              </w:rPr>
              <w:t>号）第三章；第一节；第七条经营许可变更</w:t>
            </w:r>
            <w:r>
              <w:rPr>
                <w:rFonts w:ascii="仿宋_GB2312" w:hAnsi="仿宋_GB2312" w:eastAsia="仿宋_GB2312"/>
                <w:w w:val="80"/>
                <w:sz w:val="21"/>
                <w:szCs w:val="21"/>
              </w:rPr>
              <w:br w:type="textWrapping"/>
            </w:r>
            <w:r>
              <w:rPr>
                <w:rFonts w:ascii="仿宋_GB2312" w:hAnsi="仿宋_GB2312" w:eastAsia="仿宋_GB2312"/>
                <w:w w:val="80"/>
                <w:sz w:val="21"/>
                <w:szCs w:val="21"/>
              </w:rPr>
              <w:t>(</w:t>
            </w:r>
            <w:r>
              <w:rPr>
                <w:rFonts w:hint="eastAsia" w:ascii="仿宋_GB2312" w:hAnsi="仿宋_GB2312" w:eastAsia="仿宋_GB2312"/>
                <w:w w:val="80"/>
                <w:sz w:val="21"/>
                <w:szCs w:val="21"/>
              </w:rPr>
              <w:t>一</w:t>
            </w:r>
            <w:r>
              <w:rPr>
                <w:rFonts w:ascii="仿宋_GB2312" w:hAnsi="仿宋_GB2312" w:eastAsia="仿宋_GB2312"/>
                <w:w w:val="80"/>
                <w:sz w:val="21"/>
                <w:szCs w:val="21"/>
              </w:rPr>
              <w:t>)</w:t>
            </w:r>
            <w:r>
              <w:rPr>
                <w:rFonts w:hint="eastAsia" w:ascii="仿宋_GB2312" w:hAnsi="仿宋_GB2312" w:eastAsia="仿宋_GB2312"/>
                <w:w w:val="80"/>
                <w:sz w:val="21"/>
                <w:szCs w:val="21"/>
              </w:rPr>
              <w:t>道路货物运输经营者变更许可事项、扩大经营范围的，按照有关许可规定办理。</w:t>
            </w:r>
            <w:r>
              <w:rPr>
                <w:rFonts w:ascii="仿宋_GB2312" w:hAnsi="仿宋_GB2312" w:eastAsia="仿宋_GB2312"/>
                <w:w w:val="80"/>
                <w:sz w:val="21"/>
                <w:szCs w:val="21"/>
              </w:rPr>
              <w:br w:type="textWrapping"/>
            </w:r>
            <w:r>
              <w:rPr>
                <w:rFonts w:ascii="仿宋_GB2312" w:hAnsi="仿宋_GB2312" w:eastAsia="仿宋_GB2312"/>
                <w:w w:val="80"/>
                <w:sz w:val="21"/>
                <w:szCs w:val="21"/>
              </w:rPr>
              <w:t>(</w:t>
            </w:r>
            <w:r>
              <w:rPr>
                <w:rFonts w:hint="eastAsia" w:ascii="仿宋_GB2312" w:hAnsi="仿宋_GB2312" w:eastAsia="仿宋_GB2312"/>
                <w:w w:val="80"/>
                <w:sz w:val="21"/>
                <w:szCs w:val="21"/>
              </w:rPr>
              <w:t>二</w:t>
            </w:r>
            <w:r>
              <w:rPr>
                <w:rFonts w:ascii="仿宋_GB2312" w:hAnsi="仿宋_GB2312" w:eastAsia="仿宋_GB2312"/>
                <w:w w:val="80"/>
                <w:sz w:val="21"/>
                <w:szCs w:val="21"/>
              </w:rPr>
              <w:t>)</w:t>
            </w:r>
            <w:r>
              <w:rPr>
                <w:rFonts w:hint="eastAsia" w:ascii="仿宋_GB2312" w:hAnsi="仿宋_GB2312" w:eastAsia="仿宋_GB2312"/>
                <w:w w:val="80"/>
                <w:sz w:val="21"/>
                <w:szCs w:val="21"/>
              </w:rPr>
              <w:t>道路货物运输经营者变更法人代表的应向作出原许可决定的道路运输管理机构提交《道路运输经营者变更备案登记表》，《企业法人营业执照》、企业组织机构代码证及复印件、企业法人身份证明及复印件、经办人身份证明及复印件委托书</w:t>
            </w:r>
            <w:r>
              <w:rPr>
                <w:rFonts w:ascii="仿宋_GB2312" w:hAnsi="仿宋_GB2312" w:eastAsia="仿宋_GB2312"/>
                <w:w w:val="80"/>
                <w:sz w:val="21"/>
                <w:szCs w:val="21"/>
              </w:rPr>
              <w:t xml:space="preserve">; </w:t>
            </w:r>
            <w:r>
              <w:rPr>
                <w:rFonts w:hint="eastAsia" w:ascii="仿宋_GB2312" w:hAnsi="仿宋_GB2312" w:eastAsia="仿宋_GB2312"/>
                <w:w w:val="80"/>
                <w:sz w:val="21"/>
                <w:szCs w:val="21"/>
              </w:rPr>
              <w:t>道路货物运输经营者变更名称、地址等的应向作出原许可决定的道路运输管理机构提交上述材料及《道路运输证》。道路运输管理机构履行备案手续并换发许可证件。拟变更的经营地址不属于原发证机关管辖范围的，由原发证机关将《道路运输经营者变更备案登记表》移交变更后经营地址所在地的道路运输管理机构；由变更后经营地址所在地的道路运输管理机构换发许可证件。</w:t>
            </w:r>
            <w:r>
              <w:rPr>
                <w:rFonts w:ascii="仿宋_GB2312" w:hAnsi="仿宋_GB2312" w:eastAsia="仿宋_GB2312"/>
                <w:w w:val="80"/>
                <w:sz w:val="21"/>
                <w:szCs w:val="21"/>
              </w:rPr>
              <w:br w:type="textWrapping"/>
            </w:r>
            <w:r>
              <w:rPr>
                <w:rFonts w:ascii="仿宋_GB2312" w:hAnsi="仿宋_GB2312" w:eastAsia="仿宋_GB2312"/>
                <w:w w:val="80"/>
                <w:sz w:val="21"/>
                <w:szCs w:val="21"/>
              </w:rPr>
              <w:t>(</w:t>
            </w:r>
            <w:r>
              <w:rPr>
                <w:rFonts w:hint="eastAsia" w:ascii="仿宋_GB2312" w:hAnsi="仿宋_GB2312" w:eastAsia="仿宋_GB2312"/>
                <w:w w:val="80"/>
                <w:sz w:val="21"/>
                <w:szCs w:val="21"/>
              </w:rPr>
              <w:t>三</w:t>
            </w:r>
            <w:r>
              <w:rPr>
                <w:rFonts w:ascii="仿宋_GB2312" w:hAnsi="仿宋_GB2312" w:eastAsia="仿宋_GB2312"/>
                <w:w w:val="80"/>
                <w:sz w:val="21"/>
                <w:szCs w:val="21"/>
              </w:rPr>
              <w:t>)</w:t>
            </w:r>
            <w:r>
              <w:rPr>
                <w:rFonts w:hint="eastAsia" w:ascii="仿宋_GB2312" w:hAnsi="仿宋_GB2312" w:eastAsia="仿宋_GB2312"/>
                <w:w w:val="80"/>
                <w:sz w:val="21"/>
                <w:szCs w:val="21"/>
              </w:rPr>
              <w:t>减少经营范围的，道路运输管理机构应当为道路货物运输经营者换发《道路运输经营许可证》，收回相应车辆的《道路运输证》</w:t>
            </w:r>
          </w:p>
        </w:tc>
        <w:tc>
          <w:tcPr>
            <w:tcW w:w="105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仿宋" w:hAnsi="仿宋" w:eastAsia="仿宋" w:cs="仿宋"/>
                <w:sz w:val="28"/>
                <w:szCs w:val="28"/>
              </w:rPr>
            </w:pPr>
          </w:p>
        </w:tc>
        <w:tc>
          <w:tcPr>
            <w:tcW w:w="1053" w:type="dxa"/>
            <w:tcBorders>
              <w:top w:val="single" w:color="auto" w:sz="4" w:space="0"/>
              <w:left w:val="single" w:color="000000" w:sz="2" w:space="0"/>
              <w:bottom w:val="single" w:color="auto" w:sz="4"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仿宋" w:hAnsi="仿宋" w:eastAsia="仿宋" w:cs="仿宋"/>
                <w:sz w:val="28"/>
                <w:szCs w:val="28"/>
              </w:rPr>
            </w:pPr>
            <w:r>
              <w:rPr>
                <w:rFonts w:hint="eastAsia" w:ascii="仿宋" w:hAnsi="仿宋" w:eastAsia="仿宋" w:cs="仿宋"/>
                <w:sz w:val="28"/>
                <w:szCs w:val="28"/>
                <w:lang w:eastAsia="zh-CN"/>
              </w:rPr>
              <w:t>保留</w:t>
            </w:r>
          </w:p>
        </w:tc>
        <w:tc>
          <w:tcPr>
            <w:tcW w:w="2174" w:type="dxa"/>
            <w:tcBorders>
              <w:top w:val="single" w:color="auto" w:sz="4" w:space="0"/>
              <w:left w:val="single" w:color="000000" w:sz="2" w:space="0"/>
              <w:bottom w:val="single" w:color="auto" w:sz="4" w:space="0"/>
              <w:right w:val="single" w:color="000000" w:sz="2" w:space="0"/>
            </w:tcBorders>
            <w:vAlign w:val="center"/>
          </w:tcPr>
          <w:p>
            <w:pPr>
              <w:pStyle w:val="3"/>
              <w:widowControl/>
              <w:spacing w:before="0" w:beforeAutospacing="0" w:after="0" w:afterAutospacing="0" w:line="360" w:lineRule="exact"/>
              <w:jc w:val="center"/>
              <w:rPr>
                <w:rFonts w:ascii="仿宋" w:hAnsi="仿宋" w:eastAsia="仿宋" w:cs="仿宋"/>
                <w:sz w:val="28"/>
                <w:szCs w:val="28"/>
              </w:rPr>
            </w:pPr>
            <w:r>
              <w:rPr>
                <w:rFonts w:hint="eastAsia" w:ascii="仿宋" w:hAnsi="仿宋" w:eastAsia="仿宋" w:cs="仿宋"/>
                <w:sz w:val="28"/>
                <w:szCs w:val="28"/>
                <w:lang w:val="en-US" w:eastAsia="zh-CN"/>
              </w:rPr>
              <w:t>否</w:t>
            </w:r>
          </w:p>
        </w:tc>
      </w:tr>
      <w:tr>
        <w:tblPrEx>
          <w:tblCellMar>
            <w:top w:w="15" w:type="dxa"/>
            <w:left w:w="15" w:type="dxa"/>
            <w:bottom w:w="15" w:type="dxa"/>
            <w:right w:w="15" w:type="dxa"/>
          </w:tblCellMar>
        </w:tblPrEx>
        <w:trPr>
          <w:trHeight w:val="8130" w:hRule="atLeast"/>
        </w:trPr>
        <w:tc>
          <w:tcPr>
            <w:tcW w:w="528"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widowControl/>
              <w:spacing w:line="360" w:lineRule="exact"/>
              <w:jc w:val="center"/>
              <w:rPr>
                <w:rFonts w:ascii="仿宋" w:hAnsi="仿宋" w:eastAsia="仿宋" w:cs="仿宋"/>
                <w:sz w:val="28"/>
                <w:szCs w:val="28"/>
              </w:rPr>
            </w:pPr>
          </w:p>
        </w:tc>
        <w:tc>
          <w:tcPr>
            <w:tcW w:w="1913" w:type="dxa"/>
            <w:tcBorders>
              <w:top w:val="single" w:color="auto" w:sz="4" w:space="0"/>
              <w:left w:val="single" w:color="000000" w:sz="2" w:space="0"/>
              <w:bottom w:val="single" w:color="auto" w:sz="4" w:space="0"/>
              <w:right w:val="single" w:color="auto" w:sz="4" w:space="0"/>
            </w:tcBorders>
            <w:tcMar>
              <w:top w:w="0" w:type="dxa"/>
              <w:left w:w="0" w:type="dxa"/>
              <w:bottom w:w="0" w:type="dxa"/>
              <w:right w:w="0" w:type="dxa"/>
            </w:tcMar>
            <w:vAlign w:val="center"/>
          </w:tcPr>
          <w:p>
            <w:pPr>
              <w:widowControl/>
              <w:spacing w:line="360" w:lineRule="exact"/>
              <w:jc w:val="center"/>
              <w:rPr>
                <w:rFonts w:ascii="仿宋_GB2312" w:hAnsi="仿宋_GB2312" w:eastAsia="仿宋_GB2312"/>
                <w:sz w:val="28"/>
                <w:szCs w:val="28"/>
              </w:rPr>
            </w:pPr>
            <w:r>
              <w:rPr>
                <w:rFonts w:hint="eastAsia" w:ascii="仿宋_GB2312" w:hAnsi="仿宋_GB2312" w:eastAsia="仿宋_GB2312"/>
                <w:sz w:val="28"/>
                <w:szCs w:val="28"/>
              </w:rPr>
              <w:t>道路货运企业分立</w:t>
            </w:r>
          </w:p>
        </w:tc>
        <w:tc>
          <w:tcPr>
            <w:tcW w:w="1416" w:type="dxa"/>
            <w:tcBorders>
              <w:top w:val="single" w:color="000000" w:sz="2" w:space="0"/>
              <w:left w:val="single" w:color="auto" w:sz="4" w:space="0"/>
              <w:bottom w:val="single" w:color="000000" w:sz="2" w:space="0"/>
              <w:right w:val="single" w:color="auto" w:sz="4" w:space="0"/>
            </w:tcBorders>
            <w:tcMar>
              <w:top w:w="0" w:type="dxa"/>
              <w:left w:w="0" w:type="dxa"/>
              <w:bottom w:w="0" w:type="dxa"/>
              <w:right w:w="0" w:type="dxa"/>
            </w:tcMar>
            <w:vAlign w:val="center"/>
          </w:tcPr>
          <w:p>
            <w:pPr>
              <w:widowControl/>
              <w:spacing w:line="360" w:lineRule="exact"/>
              <w:ind w:firstLine="280" w:firstLineChars="100"/>
              <w:jc w:val="center"/>
              <w:rPr>
                <w:rFonts w:ascii="仿宋_GB2312" w:hAnsi="仿宋_GB2312" w:eastAsia="仿宋_GB2312"/>
                <w:sz w:val="28"/>
                <w:szCs w:val="28"/>
              </w:rPr>
            </w:pPr>
            <w:r>
              <w:rPr>
                <w:rFonts w:hint="eastAsia" w:ascii="仿宋_GB2312" w:hAnsi="仿宋_GB2312" w:eastAsia="仿宋_GB2312"/>
                <w:sz w:val="28"/>
                <w:szCs w:val="28"/>
              </w:rPr>
              <w:t>行政许可</w:t>
            </w:r>
          </w:p>
        </w:tc>
        <w:tc>
          <w:tcPr>
            <w:tcW w:w="2261" w:type="dxa"/>
            <w:tcBorders>
              <w:top w:val="single" w:color="000000" w:sz="2" w:space="0"/>
              <w:left w:val="single" w:color="auto" w:sz="4" w:space="0"/>
              <w:bottom w:val="single" w:color="000000" w:sz="2" w:space="0"/>
              <w:right w:val="single" w:color="000000" w:sz="2" w:space="0"/>
            </w:tcBorders>
            <w:tcMar>
              <w:top w:w="0" w:type="dxa"/>
              <w:left w:w="0" w:type="dxa"/>
              <w:bottom w:w="0" w:type="dxa"/>
              <w:right w:w="0" w:type="dxa"/>
            </w:tcMar>
            <w:vAlign w:val="center"/>
          </w:tcPr>
          <w:p>
            <w:pPr>
              <w:widowControl/>
              <w:spacing w:line="360" w:lineRule="exact"/>
              <w:rPr>
                <w:rFonts w:ascii="仿宋_GB2312" w:hAnsi="仿宋_GB2312" w:eastAsia="仿宋_GB2312"/>
                <w:sz w:val="28"/>
                <w:szCs w:val="28"/>
              </w:rPr>
            </w:pPr>
            <w:r>
              <w:rPr>
                <w:rFonts w:hint="eastAsia" w:ascii="仿宋_GB2312" w:hAnsi="仿宋_GB2312" w:eastAsia="仿宋_GB2312"/>
                <w:sz w:val="28"/>
                <w:szCs w:val="28"/>
              </w:rPr>
              <w:t>《道路运输企业设立分公司备案登记表》</w:t>
            </w:r>
          </w:p>
        </w:tc>
        <w:tc>
          <w:tcPr>
            <w:tcW w:w="5736"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widowControl/>
              <w:spacing w:line="360" w:lineRule="exact"/>
              <w:rPr>
                <w:rFonts w:ascii="仿宋_GB2312" w:hAnsi="仿宋_GB2312" w:eastAsia="仿宋_GB2312"/>
                <w:sz w:val="28"/>
                <w:szCs w:val="28"/>
              </w:rPr>
            </w:pPr>
            <w:r>
              <w:rPr>
                <w:rFonts w:hint="eastAsia" w:ascii="仿宋_GB2312" w:hAnsi="仿宋_GB2312" w:eastAsia="仿宋_GB2312"/>
                <w:sz w:val="28"/>
                <w:szCs w:val="28"/>
              </w:rPr>
              <w:t>《道路运输管理工作规范》第三章</w:t>
            </w:r>
            <w:r>
              <w:rPr>
                <w:rFonts w:ascii="仿宋_GB2312" w:hAnsi="仿宋_GB2312" w:eastAsia="仿宋_GB2312"/>
                <w:sz w:val="28"/>
                <w:szCs w:val="28"/>
              </w:rPr>
              <w:t xml:space="preserve"> </w:t>
            </w:r>
            <w:r>
              <w:rPr>
                <w:rFonts w:hint="eastAsia" w:ascii="仿宋_GB2312" w:hAnsi="仿宋_GB2312" w:eastAsia="仿宋_GB2312"/>
                <w:sz w:val="28"/>
                <w:szCs w:val="28"/>
              </w:rPr>
              <w:t>道路货物运输管理工作规范</w:t>
            </w:r>
            <w:r>
              <w:rPr>
                <w:rFonts w:ascii="仿宋_GB2312" w:hAnsi="仿宋_GB2312" w:eastAsia="仿宋_GB2312"/>
                <w:sz w:val="28"/>
                <w:szCs w:val="28"/>
              </w:rPr>
              <w:br w:type="textWrapping"/>
            </w:r>
            <w:r>
              <w:rPr>
                <w:rFonts w:hint="eastAsia" w:ascii="仿宋_GB2312" w:hAnsi="仿宋_GB2312" w:eastAsia="仿宋_GB2312"/>
                <w:sz w:val="28"/>
                <w:szCs w:val="28"/>
              </w:rPr>
              <w:t>第一节</w:t>
            </w:r>
            <w:r>
              <w:rPr>
                <w:rFonts w:ascii="仿宋_GB2312" w:hAnsi="仿宋_GB2312" w:eastAsia="仿宋_GB2312"/>
                <w:sz w:val="28"/>
                <w:szCs w:val="28"/>
              </w:rPr>
              <w:t xml:space="preserve"> </w:t>
            </w:r>
            <w:r>
              <w:rPr>
                <w:rFonts w:hint="eastAsia" w:ascii="仿宋_GB2312" w:hAnsi="仿宋_GB2312" w:eastAsia="仿宋_GB2312"/>
                <w:sz w:val="28"/>
                <w:szCs w:val="28"/>
              </w:rPr>
              <w:t>道路货物运输经营许可；第五条五、设立分公司报备程序</w:t>
            </w:r>
            <w:r>
              <w:rPr>
                <w:rFonts w:ascii="仿宋_GB2312" w:hAnsi="仿宋_GB2312" w:eastAsia="仿宋_GB2312"/>
                <w:sz w:val="28"/>
                <w:szCs w:val="28"/>
              </w:rPr>
              <w:br w:type="textWrapping"/>
            </w:r>
            <w:r>
              <w:rPr>
                <w:rFonts w:ascii="仿宋_GB2312" w:hAnsi="仿宋_GB2312" w:eastAsia="仿宋_GB2312"/>
                <w:sz w:val="28"/>
                <w:szCs w:val="28"/>
              </w:rPr>
              <w:t>(</w:t>
            </w:r>
            <w:r>
              <w:rPr>
                <w:rFonts w:hint="eastAsia" w:ascii="仿宋_GB2312" w:hAnsi="仿宋_GB2312" w:eastAsia="仿宋_GB2312"/>
                <w:sz w:val="28"/>
                <w:szCs w:val="28"/>
              </w:rPr>
              <w:t>一</w:t>
            </w:r>
            <w:r>
              <w:rPr>
                <w:rFonts w:ascii="仿宋_GB2312" w:hAnsi="仿宋_GB2312" w:eastAsia="仿宋_GB2312"/>
                <w:sz w:val="28"/>
                <w:szCs w:val="28"/>
              </w:rPr>
              <w:t>)</w:t>
            </w:r>
            <w:r>
              <w:rPr>
                <w:rFonts w:hint="eastAsia" w:ascii="仿宋_GB2312" w:hAnsi="仿宋_GB2312" w:eastAsia="仿宋_GB2312"/>
                <w:sz w:val="28"/>
                <w:szCs w:val="28"/>
              </w:rPr>
              <w:t>道路运输货物运输经营者应向道路运输管理机构提交以下材料：</w:t>
            </w:r>
            <w:r>
              <w:rPr>
                <w:rFonts w:ascii="仿宋_GB2312" w:hAnsi="仿宋_GB2312" w:eastAsia="仿宋_GB2312"/>
                <w:sz w:val="28"/>
                <w:szCs w:val="28"/>
              </w:rPr>
              <w:br w:type="textWrapping"/>
            </w:r>
            <w:r>
              <w:rPr>
                <w:rFonts w:hint="eastAsia" w:ascii="仿宋_GB2312" w:hAnsi="仿宋_GB2312" w:eastAsia="仿宋_GB2312"/>
                <w:sz w:val="28"/>
                <w:szCs w:val="28"/>
              </w:rPr>
              <w:t>（</w:t>
            </w:r>
            <w:r>
              <w:rPr>
                <w:rFonts w:ascii="仿宋_GB2312" w:hAnsi="仿宋_GB2312" w:eastAsia="仿宋_GB2312"/>
                <w:sz w:val="28"/>
                <w:szCs w:val="28"/>
              </w:rPr>
              <w:t>1</w:t>
            </w:r>
            <w:r>
              <w:rPr>
                <w:rFonts w:hint="eastAsia" w:ascii="仿宋_GB2312" w:hAnsi="仿宋_GB2312" w:eastAsia="仿宋_GB2312"/>
                <w:sz w:val="28"/>
                <w:szCs w:val="28"/>
              </w:rPr>
              <w:t>）《道路运输企业设立分公司备案登记表》；</w:t>
            </w:r>
            <w:r>
              <w:rPr>
                <w:rFonts w:ascii="仿宋_GB2312" w:hAnsi="仿宋_GB2312" w:eastAsia="仿宋_GB2312"/>
                <w:sz w:val="28"/>
                <w:szCs w:val="28"/>
              </w:rPr>
              <w:br w:type="textWrapping"/>
            </w:r>
            <w:r>
              <w:rPr>
                <w:rFonts w:hint="eastAsia" w:ascii="仿宋_GB2312" w:hAnsi="仿宋_GB2312" w:eastAsia="仿宋_GB2312"/>
                <w:sz w:val="28"/>
                <w:szCs w:val="28"/>
              </w:rPr>
              <w:t>（</w:t>
            </w:r>
            <w:r>
              <w:rPr>
                <w:rFonts w:ascii="仿宋_GB2312" w:hAnsi="仿宋_GB2312" w:eastAsia="仿宋_GB2312"/>
                <w:sz w:val="28"/>
                <w:szCs w:val="28"/>
              </w:rPr>
              <w:t>2</w:t>
            </w:r>
            <w:r>
              <w:rPr>
                <w:rFonts w:hint="eastAsia" w:ascii="仿宋_GB2312" w:hAnsi="仿宋_GB2312" w:eastAsia="仿宋_GB2312"/>
                <w:sz w:val="28"/>
                <w:szCs w:val="28"/>
              </w:rPr>
              <w:t>）总公司《企业法人营业执照》复印件；</w:t>
            </w:r>
            <w:r>
              <w:rPr>
                <w:rFonts w:ascii="仿宋_GB2312" w:hAnsi="仿宋_GB2312" w:eastAsia="仿宋_GB2312"/>
                <w:sz w:val="28"/>
                <w:szCs w:val="28"/>
              </w:rPr>
              <w:br w:type="textWrapping"/>
            </w:r>
            <w:r>
              <w:rPr>
                <w:rFonts w:hint="eastAsia" w:ascii="仿宋_GB2312" w:hAnsi="仿宋_GB2312" w:eastAsia="仿宋_GB2312"/>
                <w:sz w:val="28"/>
                <w:szCs w:val="28"/>
              </w:rPr>
              <w:t>（</w:t>
            </w:r>
            <w:r>
              <w:rPr>
                <w:rFonts w:ascii="仿宋_GB2312" w:hAnsi="仿宋_GB2312" w:eastAsia="仿宋_GB2312"/>
                <w:sz w:val="28"/>
                <w:szCs w:val="28"/>
              </w:rPr>
              <w:t>3</w:t>
            </w:r>
            <w:r>
              <w:rPr>
                <w:rFonts w:hint="eastAsia" w:ascii="仿宋_GB2312" w:hAnsi="仿宋_GB2312" w:eastAsia="仿宋_GB2312"/>
                <w:sz w:val="28"/>
                <w:szCs w:val="28"/>
              </w:rPr>
              <w:t>）总公司《道路运输经营许可证》正本复印件；</w:t>
            </w:r>
            <w:r>
              <w:rPr>
                <w:rFonts w:ascii="仿宋_GB2312" w:hAnsi="仿宋_GB2312" w:eastAsia="仿宋_GB2312"/>
                <w:sz w:val="28"/>
                <w:szCs w:val="28"/>
              </w:rPr>
              <w:br w:type="textWrapping"/>
            </w:r>
            <w:r>
              <w:rPr>
                <w:rFonts w:hint="eastAsia" w:ascii="仿宋_GB2312" w:hAnsi="仿宋_GB2312" w:eastAsia="仿宋_GB2312"/>
                <w:sz w:val="28"/>
                <w:szCs w:val="28"/>
              </w:rPr>
              <w:t>（</w:t>
            </w:r>
            <w:r>
              <w:rPr>
                <w:rFonts w:ascii="仿宋_GB2312" w:hAnsi="仿宋_GB2312" w:eastAsia="仿宋_GB2312"/>
                <w:sz w:val="28"/>
                <w:szCs w:val="28"/>
              </w:rPr>
              <w:t>4</w:t>
            </w:r>
            <w:r>
              <w:rPr>
                <w:rFonts w:hint="eastAsia" w:ascii="仿宋_GB2312" w:hAnsi="仿宋_GB2312" w:eastAsia="仿宋_GB2312"/>
                <w:sz w:val="28"/>
                <w:szCs w:val="28"/>
              </w:rPr>
              <w:t>）总公司《道路运输经营许可证》副本（原件）；</w:t>
            </w:r>
            <w:r>
              <w:rPr>
                <w:rFonts w:ascii="仿宋_GB2312" w:hAnsi="仿宋_GB2312" w:eastAsia="仿宋_GB2312"/>
                <w:sz w:val="28"/>
                <w:szCs w:val="28"/>
              </w:rPr>
              <w:br w:type="textWrapping"/>
            </w:r>
            <w:r>
              <w:rPr>
                <w:rFonts w:hint="eastAsia" w:ascii="仿宋_GB2312" w:hAnsi="仿宋_GB2312" w:eastAsia="仿宋_GB2312"/>
                <w:sz w:val="28"/>
                <w:szCs w:val="28"/>
              </w:rPr>
              <w:t>（</w:t>
            </w:r>
            <w:r>
              <w:rPr>
                <w:rFonts w:ascii="仿宋_GB2312" w:hAnsi="仿宋_GB2312" w:eastAsia="仿宋_GB2312"/>
                <w:sz w:val="28"/>
                <w:szCs w:val="28"/>
              </w:rPr>
              <w:t>5</w:t>
            </w:r>
            <w:r>
              <w:rPr>
                <w:rFonts w:hint="eastAsia" w:ascii="仿宋_GB2312" w:hAnsi="仿宋_GB2312" w:eastAsia="仿宋_GB2312"/>
                <w:sz w:val="28"/>
                <w:szCs w:val="28"/>
              </w:rPr>
              <w:t>）总公司法定代表人身份证明及其复印件；</w:t>
            </w:r>
            <w:r>
              <w:rPr>
                <w:rFonts w:ascii="仿宋_GB2312" w:hAnsi="仿宋_GB2312" w:eastAsia="仿宋_GB2312"/>
                <w:sz w:val="28"/>
                <w:szCs w:val="28"/>
              </w:rPr>
              <w:br w:type="textWrapping"/>
            </w:r>
            <w:r>
              <w:rPr>
                <w:rFonts w:hint="eastAsia" w:ascii="仿宋_GB2312" w:hAnsi="仿宋_GB2312" w:eastAsia="仿宋_GB2312"/>
                <w:sz w:val="28"/>
                <w:szCs w:val="28"/>
              </w:rPr>
              <w:t>（</w:t>
            </w:r>
            <w:r>
              <w:rPr>
                <w:rFonts w:ascii="仿宋_GB2312" w:hAnsi="仿宋_GB2312" w:eastAsia="仿宋_GB2312"/>
                <w:sz w:val="28"/>
                <w:szCs w:val="28"/>
              </w:rPr>
              <w:t>6</w:t>
            </w:r>
            <w:r>
              <w:rPr>
                <w:rFonts w:hint="eastAsia" w:ascii="仿宋_GB2312" w:hAnsi="仿宋_GB2312" w:eastAsia="仿宋_GB2312"/>
                <w:sz w:val="28"/>
                <w:szCs w:val="28"/>
              </w:rPr>
              <w:t>）分公司《企业法人营业执照》复印件；</w:t>
            </w:r>
            <w:r>
              <w:rPr>
                <w:rFonts w:ascii="仿宋_GB2312" w:hAnsi="仿宋_GB2312" w:eastAsia="仿宋_GB2312"/>
                <w:sz w:val="28"/>
                <w:szCs w:val="28"/>
              </w:rPr>
              <w:br w:type="textWrapping"/>
            </w:r>
            <w:r>
              <w:rPr>
                <w:rFonts w:hint="eastAsia" w:ascii="仿宋_GB2312" w:hAnsi="仿宋_GB2312" w:eastAsia="仿宋_GB2312"/>
                <w:sz w:val="28"/>
                <w:szCs w:val="28"/>
              </w:rPr>
              <w:t>（</w:t>
            </w:r>
            <w:r>
              <w:rPr>
                <w:rFonts w:ascii="仿宋_GB2312" w:hAnsi="仿宋_GB2312" w:eastAsia="仿宋_GB2312"/>
                <w:sz w:val="28"/>
                <w:szCs w:val="28"/>
              </w:rPr>
              <w:t>7</w:t>
            </w:r>
            <w:r>
              <w:rPr>
                <w:rFonts w:hint="eastAsia" w:ascii="仿宋_GB2312" w:hAnsi="仿宋_GB2312" w:eastAsia="仿宋_GB2312"/>
                <w:sz w:val="28"/>
                <w:szCs w:val="28"/>
              </w:rPr>
              <w:t>）分公司负责人身份证明极其复印件；</w:t>
            </w:r>
            <w:r>
              <w:rPr>
                <w:rFonts w:ascii="仿宋_GB2312" w:hAnsi="仿宋_GB2312" w:eastAsia="仿宋_GB2312"/>
                <w:sz w:val="28"/>
                <w:szCs w:val="28"/>
              </w:rPr>
              <w:br w:type="textWrapping"/>
            </w:r>
            <w:r>
              <w:rPr>
                <w:rFonts w:hint="eastAsia" w:ascii="仿宋_GB2312" w:hAnsi="仿宋_GB2312" w:eastAsia="仿宋_GB2312"/>
                <w:sz w:val="28"/>
                <w:szCs w:val="28"/>
              </w:rPr>
              <w:t>（</w:t>
            </w:r>
            <w:r>
              <w:rPr>
                <w:rFonts w:ascii="仿宋_GB2312" w:hAnsi="仿宋_GB2312" w:eastAsia="仿宋_GB2312"/>
                <w:sz w:val="28"/>
                <w:szCs w:val="28"/>
              </w:rPr>
              <w:t>8</w:t>
            </w:r>
            <w:r>
              <w:rPr>
                <w:rFonts w:hint="eastAsia" w:ascii="仿宋_GB2312" w:hAnsi="仿宋_GB2312" w:eastAsia="仿宋_GB2312"/>
                <w:sz w:val="28"/>
                <w:szCs w:val="28"/>
              </w:rPr>
              <w:t>）备案登记经办人身份证明及其复印件和委托书；</w:t>
            </w:r>
            <w:r>
              <w:rPr>
                <w:rFonts w:ascii="仿宋_GB2312" w:hAnsi="仿宋_GB2312" w:eastAsia="仿宋_GB2312"/>
                <w:sz w:val="28"/>
                <w:szCs w:val="28"/>
              </w:rPr>
              <w:br w:type="textWrapping"/>
            </w:r>
            <w:r>
              <w:rPr>
                <w:rFonts w:hint="eastAsia" w:ascii="仿宋_GB2312" w:hAnsi="仿宋_GB2312" w:eastAsia="仿宋_GB2312"/>
                <w:sz w:val="28"/>
                <w:szCs w:val="28"/>
              </w:rPr>
              <w:t>（</w:t>
            </w:r>
            <w:r>
              <w:rPr>
                <w:rFonts w:ascii="仿宋_GB2312" w:hAnsi="仿宋_GB2312" w:eastAsia="仿宋_GB2312"/>
                <w:sz w:val="28"/>
                <w:szCs w:val="28"/>
              </w:rPr>
              <w:t>9</w:t>
            </w:r>
            <w:r>
              <w:rPr>
                <w:rFonts w:hint="eastAsia" w:ascii="仿宋_GB2312" w:hAnsi="仿宋_GB2312" w:eastAsia="仿宋_GB2312"/>
                <w:sz w:val="28"/>
                <w:szCs w:val="28"/>
              </w:rPr>
              <w:t>）分公司安全生产等管理制度；</w:t>
            </w:r>
            <w:r>
              <w:rPr>
                <w:rFonts w:ascii="仿宋_GB2312" w:hAnsi="仿宋_GB2312" w:eastAsia="仿宋_GB2312"/>
                <w:sz w:val="28"/>
                <w:szCs w:val="28"/>
              </w:rPr>
              <w:br w:type="textWrapping"/>
            </w:r>
            <w:r>
              <w:rPr>
                <w:rFonts w:hint="eastAsia" w:ascii="仿宋_GB2312" w:hAnsi="仿宋_GB2312" w:eastAsia="仿宋_GB2312"/>
                <w:sz w:val="28"/>
                <w:szCs w:val="28"/>
              </w:rPr>
              <w:t>（</w:t>
            </w:r>
            <w:r>
              <w:rPr>
                <w:rFonts w:ascii="仿宋_GB2312" w:hAnsi="仿宋_GB2312" w:eastAsia="仿宋_GB2312"/>
                <w:sz w:val="28"/>
                <w:szCs w:val="28"/>
              </w:rPr>
              <w:t>10</w:t>
            </w:r>
            <w:r>
              <w:rPr>
                <w:rFonts w:hint="eastAsia" w:ascii="仿宋_GB2312" w:hAnsi="仿宋_GB2312" w:eastAsia="仿宋_GB2312"/>
                <w:sz w:val="28"/>
                <w:szCs w:val="28"/>
              </w:rPr>
              <w:t>）总公司与分公司不属同一道路运输管理机构的，还应提交总公司所在地出具的《关于同意</w:t>
            </w:r>
            <w:r>
              <w:rPr>
                <w:rFonts w:ascii="仿宋_GB2312" w:hAnsi="仿宋_GB2312" w:eastAsia="仿宋_GB2312"/>
                <w:sz w:val="28"/>
                <w:szCs w:val="28"/>
              </w:rPr>
              <w:t>XXXX</w:t>
            </w:r>
            <w:r>
              <w:rPr>
                <w:rFonts w:hint="eastAsia" w:ascii="仿宋_GB2312" w:hAnsi="仿宋_GB2312" w:eastAsia="仿宋_GB2312"/>
                <w:sz w:val="28"/>
                <w:szCs w:val="28"/>
              </w:rPr>
              <w:t>设立分公司的函》</w:t>
            </w:r>
          </w:p>
        </w:tc>
        <w:tc>
          <w:tcPr>
            <w:tcW w:w="105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仿宋" w:hAnsi="仿宋" w:eastAsia="仿宋" w:cs="仿宋"/>
                <w:sz w:val="28"/>
                <w:szCs w:val="28"/>
              </w:rPr>
            </w:pPr>
          </w:p>
        </w:tc>
        <w:tc>
          <w:tcPr>
            <w:tcW w:w="1053" w:type="dxa"/>
            <w:tcBorders>
              <w:top w:val="single" w:color="auto" w:sz="4" w:space="0"/>
              <w:left w:val="single" w:color="000000" w:sz="2" w:space="0"/>
              <w:bottom w:val="single" w:color="auto" w:sz="4"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仿宋" w:hAnsi="仿宋" w:eastAsia="仿宋" w:cs="仿宋"/>
                <w:sz w:val="28"/>
                <w:szCs w:val="28"/>
              </w:rPr>
            </w:pPr>
            <w:r>
              <w:rPr>
                <w:rFonts w:hint="eastAsia" w:ascii="仿宋" w:hAnsi="仿宋" w:eastAsia="仿宋" w:cs="仿宋"/>
                <w:sz w:val="28"/>
                <w:szCs w:val="28"/>
                <w:lang w:eastAsia="zh-CN"/>
              </w:rPr>
              <w:t>保留</w:t>
            </w:r>
          </w:p>
        </w:tc>
        <w:tc>
          <w:tcPr>
            <w:tcW w:w="2174" w:type="dxa"/>
            <w:tcBorders>
              <w:top w:val="single" w:color="auto" w:sz="4" w:space="0"/>
              <w:left w:val="single" w:color="000000" w:sz="2" w:space="0"/>
              <w:bottom w:val="single" w:color="auto" w:sz="4" w:space="0"/>
              <w:right w:val="single" w:color="000000" w:sz="2" w:space="0"/>
            </w:tcBorders>
            <w:vAlign w:val="center"/>
          </w:tcPr>
          <w:p>
            <w:pPr>
              <w:pStyle w:val="3"/>
              <w:widowControl/>
              <w:spacing w:before="0" w:beforeAutospacing="0" w:after="0" w:afterAutospacing="0" w:line="360" w:lineRule="exact"/>
              <w:jc w:val="center"/>
              <w:rPr>
                <w:rFonts w:ascii="仿宋" w:hAnsi="仿宋" w:eastAsia="仿宋" w:cs="仿宋"/>
                <w:sz w:val="28"/>
                <w:szCs w:val="28"/>
              </w:rPr>
            </w:pPr>
            <w:r>
              <w:rPr>
                <w:rFonts w:hint="eastAsia" w:ascii="仿宋" w:hAnsi="仿宋" w:eastAsia="仿宋" w:cs="仿宋"/>
                <w:sz w:val="28"/>
                <w:szCs w:val="28"/>
                <w:lang w:val="en-US" w:eastAsia="zh-CN"/>
              </w:rPr>
              <w:t>否</w:t>
            </w:r>
          </w:p>
        </w:tc>
      </w:tr>
      <w:tr>
        <w:tblPrEx>
          <w:tblCellMar>
            <w:top w:w="15" w:type="dxa"/>
            <w:left w:w="15" w:type="dxa"/>
            <w:bottom w:w="15" w:type="dxa"/>
            <w:right w:w="15" w:type="dxa"/>
          </w:tblCellMar>
        </w:tblPrEx>
        <w:trPr>
          <w:trHeight w:val="552" w:hRule="atLeast"/>
        </w:trPr>
        <w:tc>
          <w:tcPr>
            <w:tcW w:w="528"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widowControl/>
              <w:spacing w:line="360" w:lineRule="exact"/>
              <w:jc w:val="center"/>
              <w:rPr>
                <w:rFonts w:ascii="仿宋" w:hAnsi="仿宋" w:eastAsia="仿宋" w:cs="仿宋"/>
                <w:sz w:val="28"/>
                <w:szCs w:val="28"/>
              </w:rPr>
            </w:pPr>
          </w:p>
        </w:tc>
        <w:tc>
          <w:tcPr>
            <w:tcW w:w="1913" w:type="dxa"/>
            <w:tcBorders>
              <w:top w:val="single" w:color="auto" w:sz="4" w:space="0"/>
              <w:left w:val="single" w:color="000000" w:sz="2" w:space="0"/>
              <w:bottom w:val="single" w:color="auto" w:sz="4" w:space="0"/>
              <w:right w:val="single" w:color="auto" w:sz="4" w:space="0"/>
            </w:tcBorders>
            <w:tcMar>
              <w:top w:w="0" w:type="dxa"/>
              <w:left w:w="0" w:type="dxa"/>
              <w:bottom w:w="0" w:type="dxa"/>
              <w:right w:w="0" w:type="dxa"/>
            </w:tcMar>
            <w:vAlign w:val="center"/>
          </w:tcPr>
          <w:p>
            <w:pPr>
              <w:widowControl/>
              <w:spacing w:line="360" w:lineRule="exact"/>
              <w:jc w:val="center"/>
              <w:rPr>
                <w:rFonts w:ascii="仿宋_GB2312" w:hAnsi="仿宋_GB2312" w:eastAsia="仿宋_GB2312"/>
                <w:sz w:val="28"/>
                <w:szCs w:val="28"/>
              </w:rPr>
            </w:pPr>
            <w:r>
              <w:rPr>
                <w:rFonts w:hint="eastAsia" w:ascii="仿宋_GB2312" w:hAnsi="仿宋_GB2312" w:eastAsia="仿宋_GB2312"/>
                <w:sz w:val="28"/>
                <w:szCs w:val="28"/>
              </w:rPr>
              <w:t>货运代理（代办）备案</w:t>
            </w:r>
          </w:p>
        </w:tc>
        <w:tc>
          <w:tcPr>
            <w:tcW w:w="1416" w:type="dxa"/>
            <w:tcBorders>
              <w:top w:val="single" w:color="000000" w:sz="2" w:space="0"/>
              <w:left w:val="single" w:color="auto" w:sz="4" w:space="0"/>
              <w:bottom w:val="single" w:color="000000" w:sz="2" w:space="0"/>
              <w:right w:val="single" w:color="auto" w:sz="4" w:space="0"/>
            </w:tcBorders>
            <w:tcMar>
              <w:top w:w="0" w:type="dxa"/>
              <w:left w:w="0" w:type="dxa"/>
              <w:bottom w:w="0" w:type="dxa"/>
              <w:right w:w="0" w:type="dxa"/>
            </w:tcMar>
            <w:vAlign w:val="center"/>
          </w:tcPr>
          <w:p>
            <w:pPr>
              <w:widowControl/>
              <w:spacing w:line="360" w:lineRule="exact"/>
              <w:ind w:firstLine="280" w:firstLineChars="100"/>
              <w:jc w:val="center"/>
              <w:rPr>
                <w:rFonts w:ascii="仿宋_GB2312" w:hAnsi="仿宋_GB2312" w:eastAsia="仿宋_GB2312"/>
                <w:sz w:val="28"/>
                <w:szCs w:val="28"/>
              </w:rPr>
            </w:pPr>
            <w:r>
              <w:rPr>
                <w:rFonts w:hint="eastAsia" w:ascii="仿宋_GB2312" w:hAnsi="仿宋_GB2312" w:eastAsia="仿宋_GB2312"/>
                <w:sz w:val="28"/>
                <w:szCs w:val="28"/>
              </w:rPr>
              <w:t>其他行政权力</w:t>
            </w:r>
          </w:p>
        </w:tc>
        <w:tc>
          <w:tcPr>
            <w:tcW w:w="2261" w:type="dxa"/>
            <w:tcBorders>
              <w:top w:val="single" w:color="000000" w:sz="2" w:space="0"/>
              <w:left w:val="single" w:color="auto" w:sz="4" w:space="0"/>
              <w:bottom w:val="single" w:color="000000" w:sz="2" w:space="0"/>
              <w:right w:val="single" w:color="000000" w:sz="2" w:space="0"/>
            </w:tcBorders>
            <w:tcMar>
              <w:top w:w="0" w:type="dxa"/>
              <w:left w:w="0" w:type="dxa"/>
              <w:bottom w:w="0" w:type="dxa"/>
              <w:right w:w="0" w:type="dxa"/>
            </w:tcMar>
            <w:vAlign w:val="center"/>
          </w:tcPr>
          <w:p>
            <w:pPr>
              <w:widowControl/>
              <w:spacing w:line="360" w:lineRule="exact"/>
              <w:rPr>
                <w:rFonts w:ascii="仿宋_GB2312" w:hAnsi="仿宋_GB2312" w:eastAsia="仿宋_GB2312"/>
                <w:sz w:val="28"/>
                <w:szCs w:val="28"/>
              </w:rPr>
            </w:pPr>
            <w:r>
              <w:rPr>
                <w:rFonts w:hint="eastAsia" w:ascii="仿宋_GB2312" w:hAnsi="仿宋_GB2312" w:eastAsia="仿宋_GB2312"/>
                <w:sz w:val="28"/>
                <w:szCs w:val="28"/>
              </w:rPr>
              <w:t>货运代理</w:t>
            </w:r>
            <w:r>
              <w:rPr>
                <w:rFonts w:ascii="仿宋_GB2312" w:hAnsi="仿宋_GB2312" w:eastAsia="仿宋_GB2312"/>
                <w:sz w:val="28"/>
                <w:szCs w:val="28"/>
              </w:rPr>
              <w:t>(</w:t>
            </w:r>
            <w:r>
              <w:rPr>
                <w:rFonts w:hint="eastAsia" w:ascii="仿宋_GB2312" w:hAnsi="仿宋_GB2312" w:eastAsia="仿宋_GB2312"/>
                <w:sz w:val="28"/>
                <w:szCs w:val="28"/>
              </w:rPr>
              <w:t>代办</w:t>
            </w:r>
            <w:r>
              <w:rPr>
                <w:rFonts w:ascii="仿宋_GB2312" w:hAnsi="仿宋_GB2312" w:eastAsia="仿宋_GB2312"/>
                <w:sz w:val="28"/>
                <w:szCs w:val="28"/>
              </w:rPr>
              <w:t>)</w:t>
            </w:r>
            <w:r>
              <w:rPr>
                <w:rFonts w:hint="eastAsia" w:ascii="仿宋_GB2312" w:hAnsi="仿宋_GB2312" w:eastAsia="仿宋_GB2312"/>
                <w:sz w:val="28"/>
                <w:szCs w:val="28"/>
              </w:rPr>
              <w:t>备案登记表，法定、经办人身份证明和委托书</w:t>
            </w:r>
          </w:p>
        </w:tc>
        <w:tc>
          <w:tcPr>
            <w:tcW w:w="5736"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仿宋_GB2312" w:hAnsi="仿宋_GB2312" w:eastAsia="仿宋_GB2312"/>
                <w:sz w:val="21"/>
                <w:szCs w:val="21"/>
              </w:rPr>
            </w:pPr>
            <w:r>
              <w:rPr>
                <w:rFonts w:hint="eastAsia" w:ascii="仿宋_GB2312" w:hAnsi="仿宋_GB2312" w:eastAsia="仿宋_GB2312"/>
                <w:sz w:val="21"/>
                <w:szCs w:val="21"/>
              </w:rPr>
              <w:t>《道路货物运输及站场管理规定》第十五条 从事货运代理（代办）等货运相关服务的经营者，应当依法到工商行政管理机关办理有关登记手续，并持有关登记证件到设立地的道路运输管理机构备案</w:t>
            </w:r>
          </w:p>
        </w:tc>
        <w:tc>
          <w:tcPr>
            <w:tcW w:w="105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仿宋" w:hAnsi="仿宋" w:eastAsia="仿宋" w:cs="仿宋"/>
                <w:sz w:val="28"/>
                <w:szCs w:val="28"/>
              </w:rPr>
            </w:pPr>
          </w:p>
        </w:tc>
        <w:tc>
          <w:tcPr>
            <w:tcW w:w="1053" w:type="dxa"/>
            <w:tcBorders>
              <w:top w:val="single" w:color="auto" w:sz="4" w:space="0"/>
              <w:left w:val="single" w:color="000000" w:sz="2" w:space="0"/>
              <w:bottom w:val="single" w:color="auto" w:sz="4"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仿宋" w:hAnsi="仿宋" w:eastAsia="仿宋" w:cs="仿宋"/>
                <w:sz w:val="28"/>
                <w:szCs w:val="28"/>
              </w:rPr>
            </w:pPr>
            <w:r>
              <w:rPr>
                <w:rFonts w:hint="eastAsia" w:ascii="仿宋" w:hAnsi="仿宋" w:eastAsia="仿宋" w:cs="仿宋"/>
                <w:sz w:val="28"/>
                <w:szCs w:val="28"/>
                <w:lang w:eastAsia="zh-CN"/>
              </w:rPr>
              <w:t>保留</w:t>
            </w:r>
          </w:p>
        </w:tc>
        <w:tc>
          <w:tcPr>
            <w:tcW w:w="2174" w:type="dxa"/>
            <w:tcBorders>
              <w:top w:val="single" w:color="auto" w:sz="4" w:space="0"/>
              <w:left w:val="single" w:color="000000" w:sz="2" w:space="0"/>
              <w:bottom w:val="single" w:color="auto" w:sz="4" w:space="0"/>
              <w:right w:val="single" w:color="000000" w:sz="2" w:space="0"/>
            </w:tcBorders>
            <w:vAlign w:val="center"/>
          </w:tcPr>
          <w:p>
            <w:pPr>
              <w:pStyle w:val="3"/>
              <w:widowControl/>
              <w:spacing w:before="0" w:beforeAutospacing="0" w:after="0" w:afterAutospacing="0" w:line="360" w:lineRule="exact"/>
              <w:jc w:val="center"/>
              <w:rPr>
                <w:rFonts w:ascii="仿宋" w:hAnsi="仿宋" w:eastAsia="仿宋" w:cs="仿宋"/>
                <w:sz w:val="28"/>
                <w:szCs w:val="28"/>
              </w:rPr>
            </w:pPr>
            <w:r>
              <w:rPr>
                <w:rFonts w:hint="eastAsia" w:ascii="仿宋" w:hAnsi="仿宋" w:eastAsia="仿宋" w:cs="仿宋"/>
                <w:sz w:val="28"/>
                <w:szCs w:val="28"/>
                <w:lang w:val="en-US" w:eastAsia="zh-CN"/>
              </w:rPr>
              <w:t>否</w:t>
            </w:r>
          </w:p>
        </w:tc>
      </w:tr>
      <w:tr>
        <w:tblPrEx>
          <w:tblCellMar>
            <w:top w:w="15" w:type="dxa"/>
            <w:left w:w="15" w:type="dxa"/>
            <w:bottom w:w="15" w:type="dxa"/>
            <w:right w:w="15" w:type="dxa"/>
          </w:tblCellMar>
        </w:tblPrEx>
        <w:trPr>
          <w:trHeight w:val="4041" w:hRule="atLeast"/>
        </w:trPr>
        <w:tc>
          <w:tcPr>
            <w:tcW w:w="528"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widowControl/>
              <w:spacing w:line="360" w:lineRule="exact"/>
              <w:jc w:val="center"/>
              <w:rPr>
                <w:rFonts w:ascii="仿宋" w:hAnsi="仿宋" w:eastAsia="仿宋" w:cs="仿宋"/>
                <w:sz w:val="28"/>
                <w:szCs w:val="28"/>
              </w:rPr>
            </w:pPr>
          </w:p>
        </w:tc>
        <w:tc>
          <w:tcPr>
            <w:tcW w:w="1913" w:type="dxa"/>
            <w:tcBorders>
              <w:top w:val="single" w:color="auto" w:sz="4" w:space="0"/>
              <w:left w:val="single" w:color="000000" w:sz="2" w:space="0"/>
              <w:bottom w:val="single" w:color="auto" w:sz="4" w:space="0"/>
              <w:right w:val="single" w:color="auto" w:sz="4" w:space="0"/>
            </w:tcBorders>
            <w:tcMar>
              <w:top w:w="0" w:type="dxa"/>
              <w:left w:w="0" w:type="dxa"/>
              <w:bottom w:w="0" w:type="dxa"/>
              <w:right w:w="0" w:type="dxa"/>
            </w:tcMar>
            <w:vAlign w:val="center"/>
          </w:tcPr>
          <w:p>
            <w:pPr>
              <w:widowControl/>
              <w:spacing w:line="360" w:lineRule="exact"/>
              <w:jc w:val="center"/>
              <w:rPr>
                <w:rFonts w:ascii="仿宋_GB2312" w:hAnsi="仿宋_GB2312" w:eastAsia="仿宋_GB2312"/>
                <w:sz w:val="28"/>
                <w:szCs w:val="28"/>
              </w:rPr>
            </w:pPr>
            <w:r>
              <w:rPr>
                <w:rFonts w:hint="eastAsia" w:ascii="仿宋_GB2312" w:hAnsi="仿宋_GB2312" w:eastAsia="仿宋_GB2312"/>
                <w:sz w:val="28"/>
                <w:szCs w:val="28"/>
              </w:rPr>
              <w:t>道路货运企业注销</w:t>
            </w:r>
          </w:p>
        </w:tc>
        <w:tc>
          <w:tcPr>
            <w:tcW w:w="1416" w:type="dxa"/>
            <w:tcBorders>
              <w:top w:val="single" w:color="000000" w:sz="2" w:space="0"/>
              <w:left w:val="single" w:color="auto" w:sz="4" w:space="0"/>
              <w:bottom w:val="single" w:color="000000" w:sz="2" w:space="0"/>
              <w:right w:val="single" w:color="auto" w:sz="4" w:space="0"/>
            </w:tcBorders>
            <w:tcMar>
              <w:top w:w="0" w:type="dxa"/>
              <w:left w:w="0" w:type="dxa"/>
              <w:bottom w:w="0" w:type="dxa"/>
              <w:right w:w="0" w:type="dxa"/>
            </w:tcMar>
            <w:vAlign w:val="center"/>
          </w:tcPr>
          <w:p>
            <w:pPr>
              <w:widowControl/>
              <w:spacing w:line="360" w:lineRule="exact"/>
              <w:ind w:firstLine="280" w:firstLineChars="100"/>
              <w:jc w:val="center"/>
              <w:rPr>
                <w:rFonts w:ascii="仿宋_GB2312" w:hAnsi="仿宋_GB2312" w:eastAsia="仿宋_GB2312"/>
                <w:sz w:val="28"/>
                <w:szCs w:val="28"/>
              </w:rPr>
            </w:pPr>
            <w:r>
              <w:rPr>
                <w:rFonts w:hint="eastAsia" w:ascii="仿宋_GB2312" w:hAnsi="仿宋_GB2312" w:eastAsia="仿宋_GB2312"/>
                <w:sz w:val="28"/>
                <w:szCs w:val="28"/>
              </w:rPr>
              <w:t>行政许可</w:t>
            </w:r>
          </w:p>
        </w:tc>
        <w:tc>
          <w:tcPr>
            <w:tcW w:w="2261" w:type="dxa"/>
            <w:tcBorders>
              <w:top w:val="single" w:color="000000" w:sz="2" w:space="0"/>
              <w:left w:val="single" w:color="auto" w:sz="4" w:space="0"/>
              <w:bottom w:val="single" w:color="000000" w:sz="2" w:space="0"/>
              <w:right w:val="single" w:color="000000" w:sz="2" w:space="0"/>
            </w:tcBorders>
            <w:tcMar>
              <w:top w:w="0" w:type="dxa"/>
              <w:left w:w="0" w:type="dxa"/>
              <w:bottom w:w="0" w:type="dxa"/>
              <w:right w:w="0" w:type="dxa"/>
            </w:tcMar>
            <w:vAlign w:val="center"/>
          </w:tcPr>
          <w:p>
            <w:pPr>
              <w:widowControl/>
              <w:spacing w:line="360" w:lineRule="exact"/>
              <w:rPr>
                <w:rFonts w:ascii="仿宋_GB2312" w:hAnsi="仿宋_GB2312" w:eastAsia="仿宋_GB2312"/>
                <w:sz w:val="28"/>
                <w:szCs w:val="28"/>
              </w:rPr>
            </w:pPr>
            <w:r>
              <w:rPr>
                <w:rFonts w:hint="eastAsia" w:ascii="仿宋_GB2312" w:hAnsi="仿宋_GB2312" w:eastAsia="仿宋_GB2312"/>
                <w:sz w:val="28"/>
                <w:szCs w:val="28"/>
              </w:rPr>
              <w:t>《企业报停（终止）申请表》</w:t>
            </w:r>
          </w:p>
        </w:tc>
        <w:tc>
          <w:tcPr>
            <w:tcW w:w="5736"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仿宋_GB2312" w:hAnsi="仿宋_GB2312" w:eastAsia="仿宋_GB2312"/>
                <w:sz w:val="21"/>
                <w:szCs w:val="21"/>
              </w:rPr>
            </w:pPr>
            <w:r>
              <w:rPr>
                <w:rFonts w:hint="eastAsia" w:ascii="仿宋_GB2312" w:hAnsi="仿宋_GB2312" w:eastAsia="仿宋_GB2312"/>
                <w:sz w:val="21"/>
                <w:szCs w:val="21"/>
              </w:rPr>
              <w:t>交通运输部《道路运输管理工作规范》（交运便字〔2014〕181号）第三章；第一节；第八条 终止经营</w:t>
            </w:r>
            <w:r>
              <w:rPr>
                <w:rFonts w:hint="eastAsia" w:ascii="仿宋_GB2312" w:hAnsi="仿宋_GB2312" w:eastAsia="仿宋_GB2312"/>
                <w:sz w:val="21"/>
                <w:szCs w:val="21"/>
              </w:rPr>
              <w:br w:type="textWrapping"/>
            </w:r>
            <w:r>
              <w:rPr>
                <w:rFonts w:hint="eastAsia" w:ascii="仿宋_GB2312" w:hAnsi="仿宋_GB2312" w:eastAsia="仿宋_GB2312"/>
                <w:sz w:val="21"/>
                <w:szCs w:val="21"/>
              </w:rPr>
              <w:t>道路货物运输企业拟终止经营的，应当在终止之日的30日前向原许可机关提交《企业报停（终止）申请表》，《道路运输经营许可证》复印件、经办人的身份证明及其复印件、《企业法人营业执照》复印件，所在单位出具明确被委托人的姓名和委托办理事项的委托书。道路运输管理机构在《企业报停（终止）申请表》上签注“终止”意见，同时向道路货物运输经营者出具《道路货物运输终止通知书》，道路货物运输企业在停业后10日内将《道路运输经营许可证》和《道路运输证》交回原许可机关，办理注销手续。</w:t>
            </w:r>
          </w:p>
        </w:tc>
        <w:tc>
          <w:tcPr>
            <w:tcW w:w="105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仿宋" w:hAnsi="仿宋" w:eastAsia="仿宋" w:cs="仿宋"/>
                <w:sz w:val="28"/>
                <w:szCs w:val="28"/>
              </w:rPr>
            </w:pPr>
          </w:p>
        </w:tc>
        <w:tc>
          <w:tcPr>
            <w:tcW w:w="1053" w:type="dxa"/>
            <w:tcBorders>
              <w:top w:val="single" w:color="auto" w:sz="4" w:space="0"/>
              <w:left w:val="single" w:color="000000" w:sz="2" w:space="0"/>
              <w:bottom w:val="single" w:color="auto" w:sz="4"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仿宋" w:hAnsi="仿宋" w:eastAsia="仿宋" w:cs="仿宋"/>
                <w:sz w:val="28"/>
                <w:szCs w:val="28"/>
              </w:rPr>
            </w:pPr>
            <w:r>
              <w:rPr>
                <w:rFonts w:hint="eastAsia" w:ascii="仿宋" w:hAnsi="仿宋" w:eastAsia="仿宋" w:cs="仿宋"/>
                <w:sz w:val="28"/>
                <w:szCs w:val="28"/>
                <w:lang w:eastAsia="zh-CN"/>
              </w:rPr>
              <w:t>保留</w:t>
            </w:r>
          </w:p>
        </w:tc>
        <w:tc>
          <w:tcPr>
            <w:tcW w:w="2174" w:type="dxa"/>
            <w:tcBorders>
              <w:top w:val="single" w:color="auto" w:sz="4" w:space="0"/>
              <w:left w:val="single" w:color="000000" w:sz="2" w:space="0"/>
              <w:bottom w:val="single" w:color="auto" w:sz="4" w:space="0"/>
              <w:right w:val="single" w:color="000000" w:sz="2" w:space="0"/>
            </w:tcBorders>
            <w:vAlign w:val="center"/>
          </w:tcPr>
          <w:p>
            <w:pPr>
              <w:pStyle w:val="3"/>
              <w:widowControl/>
              <w:spacing w:before="0" w:beforeAutospacing="0" w:after="0" w:afterAutospacing="0" w:line="360" w:lineRule="exact"/>
              <w:jc w:val="center"/>
              <w:rPr>
                <w:rFonts w:ascii="仿宋" w:hAnsi="仿宋" w:eastAsia="仿宋" w:cs="仿宋"/>
                <w:sz w:val="28"/>
                <w:szCs w:val="28"/>
              </w:rPr>
            </w:pPr>
            <w:r>
              <w:rPr>
                <w:rFonts w:hint="eastAsia" w:ascii="仿宋" w:hAnsi="仿宋" w:eastAsia="仿宋" w:cs="仿宋"/>
                <w:sz w:val="28"/>
                <w:szCs w:val="28"/>
                <w:lang w:val="en-US" w:eastAsia="zh-CN"/>
              </w:rPr>
              <w:t>否</w:t>
            </w:r>
          </w:p>
        </w:tc>
      </w:tr>
      <w:tr>
        <w:tblPrEx>
          <w:tblCellMar>
            <w:top w:w="15" w:type="dxa"/>
            <w:left w:w="15" w:type="dxa"/>
            <w:bottom w:w="15" w:type="dxa"/>
            <w:right w:w="15" w:type="dxa"/>
          </w:tblCellMar>
        </w:tblPrEx>
        <w:trPr>
          <w:trHeight w:val="2640" w:hRule="atLeast"/>
        </w:trPr>
        <w:tc>
          <w:tcPr>
            <w:tcW w:w="528"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widowControl/>
              <w:spacing w:line="360" w:lineRule="exact"/>
              <w:jc w:val="center"/>
              <w:rPr>
                <w:rFonts w:ascii="仿宋" w:hAnsi="仿宋" w:eastAsia="仿宋" w:cs="仿宋"/>
                <w:sz w:val="28"/>
                <w:szCs w:val="28"/>
              </w:rPr>
            </w:pPr>
          </w:p>
        </w:tc>
        <w:tc>
          <w:tcPr>
            <w:tcW w:w="1913" w:type="dxa"/>
            <w:tcBorders>
              <w:top w:val="single" w:color="auto" w:sz="4" w:space="0"/>
              <w:left w:val="single" w:color="000000" w:sz="2" w:space="0"/>
              <w:bottom w:val="single" w:color="auto" w:sz="4" w:space="0"/>
              <w:right w:val="single" w:color="auto" w:sz="4" w:space="0"/>
            </w:tcBorders>
            <w:tcMar>
              <w:top w:w="0" w:type="dxa"/>
              <w:left w:w="0" w:type="dxa"/>
              <w:bottom w:w="0" w:type="dxa"/>
              <w:right w:w="0" w:type="dxa"/>
            </w:tcMar>
            <w:vAlign w:val="center"/>
          </w:tcPr>
          <w:p>
            <w:pPr>
              <w:widowControl/>
              <w:spacing w:line="360" w:lineRule="exact"/>
              <w:jc w:val="center"/>
              <w:rPr>
                <w:rFonts w:ascii="仿宋_GB2312" w:hAnsi="仿宋_GB2312" w:eastAsia="仿宋_GB2312"/>
                <w:sz w:val="28"/>
                <w:szCs w:val="28"/>
              </w:rPr>
            </w:pPr>
            <w:r>
              <w:rPr>
                <w:rFonts w:hint="eastAsia" w:ascii="仿宋_GB2312" w:hAnsi="仿宋_GB2312" w:eastAsia="仿宋_GB2312"/>
                <w:sz w:val="28"/>
                <w:szCs w:val="28"/>
              </w:rPr>
              <w:t>更新采伐护路林审批</w:t>
            </w:r>
          </w:p>
        </w:tc>
        <w:tc>
          <w:tcPr>
            <w:tcW w:w="1416" w:type="dxa"/>
            <w:tcBorders>
              <w:top w:val="single" w:color="000000" w:sz="2" w:space="0"/>
              <w:left w:val="single" w:color="auto" w:sz="4" w:space="0"/>
              <w:bottom w:val="single" w:color="000000" w:sz="2" w:space="0"/>
              <w:right w:val="single" w:color="auto" w:sz="4" w:space="0"/>
            </w:tcBorders>
            <w:tcMar>
              <w:top w:w="0" w:type="dxa"/>
              <w:left w:w="0" w:type="dxa"/>
              <w:bottom w:w="0" w:type="dxa"/>
              <w:right w:w="0" w:type="dxa"/>
            </w:tcMar>
            <w:vAlign w:val="center"/>
          </w:tcPr>
          <w:p>
            <w:pPr>
              <w:widowControl/>
              <w:spacing w:line="360" w:lineRule="exact"/>
              <w:ind w:firstLine="280" w:firstLineChars="100"/>
              <w:jc w:val="center"/>
              <w:rPr>
                <w:rFonts w:ascii="仿宋_GB2312" w:hAnsi="仿宋_GB2312" w:eastAsia="仿宋_GB2312"/>
                <w:sz w:val="28"/>
                <w:szCs w:val="28"/>
              </w:rPr>
            </w:pPr>
            <w:r>
              <w:rPr>
                <w:rFonts w:hint="eastAsia" w:ascii="仿宋_GB2312" w:hAnsi="仿宋_GB2312" w:eastAsia="仿宋_GB2312"/>
                <w:sz w:val="28"/>
                <w:szCs w:val="28"/>
              </w:rPr>
              <w:t>行政许可</w:t>
            </w:r>
          </w:p>
        </w:tc>
        <w:tc>
          <w:tcPr>
            <w:tcW w:w="2261" w:type="dxa"/>
            <w:tcBorders>
              <w:top w:val="single" w:color="000000" w:sz="2" w:space="0"/>
              <w:left w:val="single" w:color="auto" w:sz="4" w:space="0"/>
              <w:bottom w:val="single" w:color="000000" w:sz="2" w:space="0"/>
              <w:right w:val="single" w:color="000000" w:sz="2" w:space="0"/>
            </w:tcBorders>
            <w:tcMar>
              <w:top w:w="0" w:type="dxa"/>
              <w:left w:w="0" w:type="dxa"/>
              <w:bottom w:w="0" w:type="dxa"/>
              <w:right w:w="0" w:type="dxa"/>
            </w:tcMar>
            <w:vAlign w:val="center"/>
          </w:tcPr>
          <w:p>
            <w:pPr>
              <w:widowControl/>
              <w:spacing w:line="360" w:lineRule="exact"/>
              <w:rPr>
                <w:rFonts w:ascii="仿宋_GB2312" w:hAnsi="仿宋_GB2312" w:eastAsia="仿宋_GB2312"/>
                <w:sz w:val="28"/>
                <w:szCs w:val="28"/>
              </w:rPr>
            </w:pPr>
            <w:r>
              <w:rPr>
                <w:rFonts w:hint="eastAsia" w:ascii="仿宋_GB2312" w:hAnsi="仿宋_GB2312" w:eastAsia="仿宋_GB2312"/>
                <w:sz w:val="28"/>
                <w:szCs w:val="28"/>
              </w:rPr>
              <w:t>行政许可申请书，技术评价报告</w:t>
            </w:r>
          </w:p>
        </w:tc>
        <w:tc>
          <w:tcPr>
            <w:tcW w:w="5736"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仿宋_GB2312" w:hAnsi="仿宋_GB2312" w:eastAsia="仿宋_GB2312"/>
                <w:sz w:val="21"/>
                <w:szCs w:val="21"/>
              </w:rPr>
            </w:pPr>
            <w:r>
              <w:rPr>
                <w:rFonts w:hint="eastAsia" w:ascii="仿宋_GB2312" w:hAnsi="仿宋_GB2312" w:eastAsia="仿宋_GB2312"/>
                <w:sz w:val="21"/>
                <w:szCs w:val="21"/>
              </w:rPr>
              <w:t>《中华人民共和国行政许可法》第二十九条 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tc>
        <w:tc>
          <w:tcPr>
            <w:tcW w:w="105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仿宋" w:hAnsi="仿宋" w:eastAsia="仿宋" w:cs="仿宋"/>
                <w:sz w:val="28"/>
                <w:szCs w:val="28"/>
              </w:rPr>
            </w:pPr>
          </w:p>
        </w:tc>
        <w:tc>
          <w:tcPr>
            <w:tcW w:w="1053" w:type="dxa"/>
            <w:tcBorders>
              <w:top w:val="single" w:color="auto" w:sz="4" w:space="0"/>
              <w:left w:val="single" w:color="000000" w:sz="2" w:space="0"/>
              <w:bottom w:val="single" w:color="auto" w:sz="4"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仿宋" w:hAnsi="仿宋" w:eastAsia="仿宋" w:cs="仿宋"/>
                <w:sz w:val="28"/>
                <w:szCs w:val="28"/>
              </w:rPr>
            </w:pPr>
            <w:r>
              <w:rPr>
                <w:rFonts w:hint="eastAsia" w:ascii="仿宋" w:hAnsi="仿宋" w:eastAsia="仿宋" w:cs="仿宋"/>
                <w:sz w:val="28"/>
                <w:szCs w:val="28"/>
                <w:lang w:eastAsia="zh-CN"/>
              </w:rPr>
              <w:t>保留</w:t>
            </w:r>
          </w:p>
        </w:tc>
        <w:tc>
          <w:tcPr>
            <w:tcW w:w="2174" w:type="dxa"/>
            <w:tcBorders>
              <w:top w:val="single" w:color="auto" w:sz="4" w:space="0"/>
              <w:left w:val="single" w:color="000000" w:sz="2" w:space="0"/>
              <w:bottom w:val="single" w:color="auto" w:sz="4" w:space="0"/>
              <w:right w:val="single" w:color="000000" w:sz="2" w:space="0"/>
            </w:tcBorders>
            <w:vAlign w:val="center"/>
          </w:tcPr>
          <w:p>
            <w:pPr>
              <w:pStyle w:val="3"/>
              <w:widowControl/>
              <w:spacing w:before="0" w:beforeAutospacing="0" w:after="0" w:afterAutospacing="0" w:line="360" w:lineRule="exact"/>
              <w:jc w:val="center"/>
              <w:rPr>
                <w:rFonts w:ascii="仿宋" w:hAnsi="仿宋" w:eastAsia="仿宋" w:cs="仿宋"/>
                <w:sz w:val="28"/>
                <w:szCs w:val="28"/>
              </w:rPr>
            </w:pPr>
            <w:r>
              <w:rPr>
                <w:rFonts w:hint="eastAsia" w:ascii="仿宋" w:hAnsi="仿宋" w:eastAsia="仿宋" w:cs="仿宋"/>
                <w:sz w:val="28"/>
                <w:szCs w:val="28"/>
                <w:lang w:val="en-US" w:eastAsia="zh-CN"/>
              </w:rPr>
              <w:t>否</w:t>
            </w:r>
          </w:p>
        </w:tc>
      </w:tr>
      <w:tr>
        <w:tblPrEx>
          <w:tblCellMar>
            <w:top w:w="15" w:type="dxa"/>
            <w:left w:w="15" w:type="dxa"/>
            <w:bottom w:w="15" w:type="dxa"/>
            <w:right w:w="15" w:type="dxa"/>
          </w:tblCellMar>
        </w:tblPrEx>
        <w:trPr>
          <w:trHeight w:val="2038" w:hRule="atLeast"/>
        </w:trPr>
        <w:tc>
          <w:tcPr>
            <w:tcW w:w="528"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widowControl/>
              <w:spacing w:line="360" w:lineRule="exact"/>
              <w:jc w:val="center"/>
              <w:rPr>
                <w:rFonts w:ascii="仿宋" w:hAnsi="仿宋" w:eastAsia="仿宋" w:cs="仿宋"/>
                <w:sz w:val="28"/>
                <w:szCs w:val="28"/>
              </w:rPr>
            </w:pPr>
          </w:p>
        </w:tc>
        <w:tc>
          <w:tcPr>
            <w:tcW w:w="1913" w:type="dxa"/>
            <w:tcBorders>
              <w:top w:val="single" w:color="auto" w:sz="4" w:space="0"/>
              <w:left w:val="single" w:color="000000" w:sz="2" w:space="0"/>
              <w:bottom w:val="single" w:color="auto" w:sz="4" w:space="0"/>
              <w:right w:val="single" w:color="auto" w:sz="4" w:space="0"/>
            </w:tcBorders>
            <w:tcMar>
              <w:top w:w="0" w:type="dxa"/>
              <w:left w:w="0" w:type="dxa"/>
              <w:bottom w:w="0" w:type="dxa"/>
              <w:right w:w="0" w:type="dxa"/>
            </w:tcMar>
            <w:vAlign w:val="center"/>
          </w:tcPr>
          <w:p>
            <w:pPr>
              <w:widowControl/>
              <w:spacing w:line="360" w:lineRule="exact"/>
              <w:jc w:val="center"/>
              <w:rPr>
                <w:rFonts w:ascii="仿宋_GB2312" w:hAnsi="仿宋_GB2312" w:eastAsia="仿宋_GB2312"/>
                <w:sz w:val="28"/>
                <w:szCs w:val="28"/>
              </w:rPr>
            </w:pPr>
            <w:r>
              <w:rPr>
                <w:rFonts w:hint="eastAsia" w:ascii="仿宋_GB2312" w:hAnsi="仿宋_GB2312" w:eastAsia="仿宋_GB2312"/>
                <w:sz w:val="28"/>
                <w:szCs w:val="28"/>
              </w:rPr>
              <w:t>在公路（高速公路除外）增设或改造平面交叉道口审批</w:t>
            </w:r>
          </w:p>
        </w:tc>
        <w:tc>
          <w:tcPr>
            <w:tcW w:w="1416" w:type="dxa"/>
            <w:tcBorders>
              <w:top w:val="single" w:color="000000" w:sz="2" w:space="0"/>
              <w:left w:val="single" w:color="auto" w:sz="4" w:space="0"/>
              <w:bottom w:val="single" w:color="000000" w:sz="2" w:space="0"/>
              <w:right w:val="single" w:color="auto" w:sz="4" w:space="0"/>
            </w:tcBorders>
            <w:tcMar>
              <w:top w:w="0" w:type="dxa"/>
              <w:left w:w="0" w:type="dxa"/>
              <w:bottom w:w="0" w:type="dxa"/>
              <w:right w:w="0" w:type="dxa"/>
            </w:tcMar>
            <w:vAlign w:val="center"/>
          </w:tcPr>
          <w:p>
            <w:pPr>
              <w:widowControl/>
              <w:spacing w:line="360" w:lineRule="exact"/>
              <w:ind w:firstLine="280" w:firstLineChars="100"/>
              <w:jc w:val="center"/>
              <w:rPr>
                <w:rFonts w:ascii="仿宋_GB2312" w:hAnsi="仿宋_GB2312" w:eastAsia="仿宋_GB2312"/>
                <w:sz w:val="28"/>
                <w:szCs w:val="28"/>
              </w:rPr>
            </w:pPr>
            <w:r>
              <w:rPr>
                <w:rFonts w:hint="eastAsia" w:ascii="仿宋_GB2312" w:hAnsi="仿宋_GB2312" w:eastAsia="仿宋_GB2312"/>
                <w:sz w:val="28"/>
                <w:szCs w:val="28"/>
              </w:rPr>
              <w:t>行政许可</w:t>
            </w:r>
          </w:p>
        </w:tc>
        <w:tc>
          <w:tcPr>
            <w:tcW w:w="2261" w:type="dxa"/>
            <w:tcBorders>
              <w:top w:val="single" w:color="000000" w:sz="2" w:space="0"/>
              <w:left w:val="single" w:color="auto" w:sz="4" w:space="0"/>
              <w:bottom w:val="single" w:color="000000" w:sz="2" w:space="0"/>
              <w:right w:val="single" w:color="000000" w:sz="2" w:space="0"/>
            </w:tcBorders>
            <w:tcMar>
              <w:top w:w="0" w:type="dxa"/>
              <w:left w:w="0" w:type="dxa"/>
              <w:bottom w:w="0" w:type="dxa"/>
              <w:right w:w="0" w:type="dxa"/>
            </w:tcMar>
            <w:vAlign w:val="center"/>
          </w:tcPr>
          <w:p>
            <w:pPr>
              <w:widowControl/>
              <w:spacing w:line="360" w:lineRule="exact"/>
              <w:rPr>
                <w:rFonts w:ascii="仿宋_GB2312" w:hAnsi="仿宋_GB2312" w:eastAsia="仿宋_GB2312"/>
                <w:sz w:val="28"/>
                <w:szCs w:val="28"/>
              </w:rPr>
            </w:pPr>
            <w:r>
              <w:rPr>
                <w:rFonts w:hint="eastAsia" w:ascii="仿宋_GB2312" w:hAnsi="仿宋_GB2312" w:eastAsia="仿宋_GB2312"/>
                <w:sz w:val="28"/>
                <w:szCs w:val="28"/>
              </w:rPr>
              <w:t>行政许可申请书，技术评价报告</w:t>
            </w:r>
          </w:p>
        </w:tc>
        <w:tc>
          <w:tcPr>
            <w:tcW w:w="5736"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仿宋_GB2312" w:hAnsi="仿宋_GB2312" w:eastAsia="仿宋_GB2312"/>
                <w:sz w:val="21"/>
                <w:szCs w:val="21"/>
              </w:rPr>
            </w:pPr>
            <w:r>
              <w:rPr>
                <w:rFonts w:hint="eastAsia" w:ascii="仿宋_GB2312" w:hAnsi="仿宋_GB2312" w:eastAsia="仿宋_GB2312"/>
                <w:sz w:val="21"/>
                <w:szCs w:val="21"/>
              </w:rPr>
              <w:t>《中华人民共和国行政许可法》第二十九条</w:t>
            </w:r>
            <w:r>
              <w:rPr>
                <w:rFonts w:ascii="仿宋_GB2312" w:hAnsi="仿宋_GB2312" w:eastAsia="仿宋_GB2312"/>
                <w:sz w:val="21"/>
                <w:szCs w:val="21"/>
              </w:rPr>
              <w:t xml:space="preserve"> </w:t>
            </w:r>
            <w:r>
              <w:rPr>
                <w:rFonts w:hint="eastAsia" w:ascii="仿宋_GB2312" w:hAnsi="仿宋_GB2312" w:eastAsia="仿宋_GB2312"/>
                <w:sz w:val="21"/>
                <w:szCs w:val="21"/>
              </w:rPr>
              <w:t>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tc>
        <w:tc>
          <w:tcPr>
            <w:tcW w:w="105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仿宋" w:hAnsi="仿宋" w:eastAsia="仿宋" w:cs="仿宋"/>
                <w:sz w:val="28"/>
                <w:szCs w:val="28"/>
              </w:rPr>
            </w:pPr>
          </w:p>
        </w:tc>
        <w:tc>
          <w:tcPr>
            <w:tcW w:w="1053" w:type="dxa"/>
            <w:tcBorders>
              <w:top w:val="single" w:color="auto" w:sz="4" w:space="0"/>
              <w:left w:val="single" w:color="000000" w:sz="2" w:space="0"/>
              <w:bottom w:val="single" w:color="auto" w:sz="4"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仿宋" w:hAnsi="仿宋" w:eastAsia="仿宋" w:cs="仿宋"/>
                <w:sz w:val="28"/>
                <w:szCs w:val="28"/>
              </w:rPr>
            </w:pPr>
            <w:r>
              <w:rPr>
                <w:rFonts w:hint="eastAsia" w:ascii="仿宋" w:hAnsi="仿宋" w:eastAsia="仿宋" w:cs="仿宋"/>
                <w:sz w:val="28"/>
                <w:szCs w:val="28"/>
                <w:lang w:eastAsia="zh-CN"/>
              </w:rPr>
              <w:t>保留</w:t>
            </w:r>
          </w:p>
        </w:tc>
        <w:tc>
          <w:tcPr>
            <w:tcW w:w="2174" w:type="dxa"/>
            <w:tcBorders>
              <w:top w:val="single" w:color="auto" w:sz="4" w:space="0"/>
              <w:left w:val="single" w:color="000000" w:sz="2" w:space="0"/>
              <w:bottom w:val="single" w:color="auto" w:sz="4" w:space="0"/>
              <w:right w:val="single" w:color="000000" w:sz="2" w:space="0"/>
            </w:tcBorders>
            <w:vAlign w:val="center"/>
          </w:tcPr>
          <w:p>
            <w:pPr>
              <w:pStyle w:val="3"/>
              <w:widowControl/>
              <w:spacing w:before="0" w:beforeAutospacing="0" w:after="0" w:afterAutospacing="0" w:line="360" w:lineRule="exact"/>
              <w:jc w:val="center"/>
              <w:rPr>
                <w:rFonts w:ascii="仿宋" w:hAnsi="仿宋" w:eastAsia="仿宋" w:cs="仿宋"/>
                <w:sz w:val="28"/>
                <w:szCs w:val="28"/>
              </w:rPr>
            </w:pPr>
            <w:r>
              <w:rPr>
                <w:rFonts w:hint="eastAsia" w:ascii="仿宋" w:hAnsi="仿宋" w:eastAsia="仿宋" w:cs="仿宋"/>
                <w:sz w:val="28"/>
                <w:szCs w:val="28"/>
                <w:lang w:val="en-US" w:eastAsia="zh-CN"/>
              </w:rPr>
              <w:t>否</w:t>
            </w:r>
          </w:p>
        </w:tc>
      </w:tr>
      <w:tr>
        <w:tblPrEx>
          <w:tblCellMar>
            <w:top w:w="15" w:type="dxa"/>
            <w:left w:w="15" w:type="dxa"/>
            <w:bottom w:w="15" w:type="dxa"/>
            <w:right w:w="15" w:type="dxa"/>
          </w:tblCellMar>
        </w:tblPrEx>
        <w:trPr>
          <w:trHeight w:val="552" w:hRule="atLeast"/>
        </w:trPr>
        <w:tc>
          <w:tcPr>
            <w:tcW w:w="528"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widowControl/>
              <w:spacing w:line="360" w:lineRule="exact"/>
              <w:jc w:val="center"/>
              <w:rPr>
                <w:rFonts w:ascii="仿宋" w:hAnsi="仿宋" w:eastAsia="仿宋" w:cs="仿宋"/>
                <w:sz w:val="28"/>
                <w:szCs w:val="28"/>
              </w:rPr>
            </w:pPr>
          </w:p>
        </w:tc>
        <w:tc>
          <w:tcPr>
            <w:tcW w:w="1913" w:type="dxa"/>
            <w:tcBorders>
              <w:top w:val="single" w:color="auto" w:sz="4" w:space="0"/>
              <w:left w:val="single" w:color="000000" w:sz="2" w:space="0"/>
              <w:bottom w:val="single" w:color="auto" w:sz="4" w:space="0"/>
              <w:right w:val="single" w:color="auto" w:sz="4" w:space="0"/>
            </w:tcBorders>
            <w:tcMar>
              <w:top w:w="0" w:type="dxa"/>
              <w:left w:w="0" w:type="dxa"/>
              <w:bottom w:w="0" w:type="dxa"/>
              <w:right w:w="0" w:type="dxa"/>
            </w:tcMar>
            <w:vAlign w:val="center"/>
          </w:tcPr>
          <w:p>
            <w:pPr>
              <w:widowControl/>
              <w:spacing w:line="360" w:lineRule="exact"/>
              <w:jc w:val="center"/>
              <w:rPr>
                <w:rFonts w:ascii="仿宋_GB2312" w:hAnsi="仿宋_GB2312" w:eastAsia="仿宋_GB2312"/>
                <w:sz w:val="28"/>
                <w:szCs w:val="28"/>
              </w:rPr>
            </w:pPr>
            <w:r>
              <w:rPr>
                <w:rFonts w:hint="eastAsia" w:ascii="仿宋_GB2312" w:hAnsi="仿宋_GB2312" w:eastAsia="仿宋_GB2312"/>
                <w:sz w:val="28"/>
                <w:szCs w:val="28"/>
              </w:rPr>
              <w:t>渔业船舶及船用产品检验</w:t>
            </w:r>
          </w:p>
        </w:tc>
        <w:tc>
          <w:tcPr>
            <w:tcW w:w="1416" w:type="dxa"/>
            <w:tcBorders>
              <w:top w:val="single" w:color="000000" w:sz="2" w:space="0"/>
              <w:left w:val="single" w:color="auto" w:sz="4" w:space="0"/>
              <w:bottom w:val="single" w:color="000000" w:sz="2" w:space="0"/>
              <w:right w:val="single" w:color="auto" w:sz="4" w:space="0"/>
            </w:tcBorders>
            <w:tcMar>
              <w:top w:w="0" w:type="dxa"/>
              <w:left w:w="0" w:type="dxa"/>
              <w:bottom w:w="0" w:type="dxa"/>
              <w:right w:w="0" w:type="dxa"/>
            </w:tcMar>
            <w:vAlign w:val="center"/>
          </w:tcPr>
          <w:p>
            <w:pPr>
              <w:widowControl/>
              <w:spacing w:line="360" w:lineRule="exact"/>
              <w:ind w:firstLine="280" w:firstLineChars="100"/>
              <w:jc w:val="center"/>
              <w:rPr>
                <w:rFonts w:ascii="仿宋_GB2312" w:hAnsi="仿宋_GB2312" w:eastAsia="仿宋_GB2312"/>
                <w:sz w:val="28"/>
                <w:szCs w:val="28"/>
              </w:rPr>
            </w:pPr>
            <w:r>
              <w:rPr>
                <w:rFonts w:hint="eastAsia" w:ascii="仿宋_GB2312" w:hAnsi="仿宋_GB2312" w:eastAsia="仿宋_GB2312"/>
                <w:sz w:val="28"/>
                <w:szCs w:val="28"/>
              </w:rPr>
              <w:t>行政许可</w:t>
            </w:r>
          </w:p>
        </w:tc>
        <w:tc>
          <w:tcPr>
            <w:tcW w:w="2261" w:type="dxa"/>
            <w:tcBorders>
              <w:top w:val="single" w:color="000000" w:sz="2" w:space="0"/>
              <w:left w:val="single" w:color="auto" w:sz="4" w:space="0"/>
              <w:bottom w:val="single" w:color="000000" w:sz="2" w:space="0"/>
              <w:right w:val="single" w:color="000000" w:sz="2" w:space="0"/>
            </w:tcBorders>
            <w:tcMar>
              <w:top w:w="0" w:type="dxa"/>
              <w:left w:w="0" w:type="dxa"/>
              <w:bottom w:w="0" w:type="dxa"/>
              <w:right w:w="0" w:type="dxa"/>
            </w:tcMar>
            <w:vAlign w:val="center"/>
          </w:tcPr>
          <w:p>
            <w:pPr>
              <w:widowControl/>
              <w:spacing w:line="360" w:lineRule="exact"/>
              <w:rPr>
                <w:rFonts w:ascii="仿宋_GB2312" w:hAnsi="仿宋_GB2312" w:eastAsia="仿宋_GB2312"/>
                <w:sz w:val="28"/>
                <w:szCs w:val="28"/>
              </w:rPr>
            </w:pPr>
            <w:r>
              <w:rPr>
                <w:rFonts w:hint="eastAsia" w:ascii="仿宋_GB2312" w:hAnsi="仿宋_GB2312" w:eastAsia="仿宋_GB2312"/>
                <w:sz w:val="28"/>
                <w:szCs w:val="28"/>
              </w:rPr>
              <w:t>渔业船舶检验申报书，检验委托书</w:t>
            </w:r>
          </w:p>
        </w:tc>
        <w:tc>
          <w:tcPr>
            <w:tcW w:w="5736"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_GB2312" w:hAnsi="仿宋_GB2312" w:eastAsia="仿宋_GB2312"/>
                <w:sz w:val="21"/>
                <w:szCs w:val="21"/>
              </w:rPr>
            </w:pPr>
            <w:r>
              <w:rPr>
                <w:rFonts w:hint="eastAsia" w:ascii="仿宋_GB2312" w:hAnsi="仿宋_GB2312" w:eastAsia="仿宋_GB2312"/>
                <w:sz w:val="21"/>
                <w:szCs w:val="21"/>
              </w:rPr>
              <w:t>《渔业船舶法定检验规则》</w:t>
            </w:r>
          </w:p>
        </w:tc>
        <w:tc>
          <w:tcPr>
            <w:tcW w:w="105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仿宋" w:hAnsi="仿宋" w:eastAsia="仿宋" w:cs="仿宋"/>
                <w:sz w:val="28"/>
                <w:szCs w:val="28"/>
              </w:rPr>
            </w:pPr>
          </w:p>
        </w:tc>
        <w:tc>
          <w:tcPr>
            <w:tcW w:w="1053" w:type="dxa"/>
            <w:tcBorders>
              <w:top w:val="single" w:color="auto" w:sz="4" w:space="0"/>
              <w:left w:val="single" w:color="000000" w:sz="2" w:space="0"/>
              <w:bottom w:val="single" w:color="auto" w:sz="4"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仿宋" w:hAnsi="仿宋" w:eastAsia="仿宋" w:cs="仿宋"/>
                <w:sz w:val="28"/>
                <w:szCs w:val="28"/>
              </w:rPr>
            </w:pPr>
            <w:r>
              <w:rPr>
                <w:rFonts w:hint="eastAsia" w:ascii="仿宋" w:hAnsi="仿宋" w:eastAsia="仿宋" w:cs="仿宋"/>
                <w:sz w:val="28"/>
                <w:szCs w:val="28"/>
                <w:lang w:eastAsia="zh-CN"/>
              </w:rPr>
              <w:t>保留</w:t>
            </w:r>
          </w:p>
        </w:tc>
        <w:tc>
          <w:tcPr>
            <w:tcW w:w="2174" w:type="dxa"/>
            <w:tcBorders>
              <w:top w:val="single" w:color="auto" w:sz="4" w:space="0"/>
              <w:left w:val="single" w:color="000000" w:sz="2" w:space="0"/>
              <w:bottom w:val="single" w:color="auto" w:sz="4" w:space="0"/>
              <w:right w:val="single" w:color="000000" w:sz="2" w:space="0"/>
            </w:tcBorders>
            <w:vAlign w:val="center"/>
          </w:tcPr>
          <w:p>
            <w:pPr>
              <w:pStyle w:val="3"/>
              <w:widowControl/>
              <w:spacing w:before="0" w:beforeAutospacing="0" w:after="0" w:afterAutospacing="0" w:line="360" w:lineRule="exact"/>
              <w:jc w:val="center"/>
              <w:rPr>
                <w:rFonts w:ascii="仿宋" w:hAnsi="仿宋" w:eastAsia="仿宋" w:cs="仿宋"/>
                <w:sz w:val="28"/>
                <w:szCs w:val="28"/>
              </w:rPr>
            </w:pPr>
            <w:r>
              <w:rPr>
                <w:rFonts w:hint="eastAsia" w:ascii="仿宋" w:hAnsi="仿宋" w:eastAsia="仿宋" w:cs="仿宋"/>
                <w:sz w:val="28"/>
                <w:szCs w:val="28"/>
                <w:lang w:val="en-US" w:eastAsia="zh-CN"/>
              </w:rPr>
              <w:t>否</w:t>
            </w:r>
          </w:p>
        </w:tc>
      </w:tr>
      <w:tr>
        <w:tblPrEx>
          <w:tblCellMar>
            <w:top w:w="15" w:type="dxa"/>
            <w:left w:w="15" w:type="dxa"/>
            <w:bottom w:w="15" w:type="dxa"/>
            <w:right w:w="15" w:type="dxa"/>
          </w:tblCellMar>
        </w:tblPrEx>
        <w:trPr>
          <w:trHeight w:val="552" w:hRule="atLeast"/>
        </w:trPr>
        <w:tc>
          <w:tcPr>
            <w:tcW w:w="528"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widowControl/>
              <w:spacing w:line="360" w:lineRule="exact"/>
              <w:jc w:val="center"/>
              <w:rPr>
                <w:rFonts w:ascii="仿宋" w:hAnsi="仿宋" w:eastAsia="仿宋" w:cs="仿宋"/>
                <w:sz w:val="28"/>
                <w:szCs w:val="28"/>
              </w:rPr>
            </w:pPr>
          </w:p>
        </w:tc>
        <w:tc>
          <w:tcPr>
            <w:tcW w:w="1913" w:type="dxa"/>
            <w:tcBorders>
              <w:top w:val="single" w:color="auto" w:sz="4" w:space="0"/>
              <w:left w:val="single" w:color="000000" w:sz="2" w:space="0"/>
              <w:bottom w:val="single" w:color="auto" w:sz="4" w:space="0"/>
              <w:right w:val="single" w:color="auto" w:sz="4" w:space="0"/>
            </w:tcBorders>
            <w:tcMar>
              <w:top w:w="0" w:type="dxa"/>
              <w:left w:w="0" w:type="dxa"/>
              <w:bottom w:w="0" w:type="dxa"/>
              <w:right w:w="0" w:type="dxa"/>
            </w:tcMar>
            <w:vAlign w:val="center"/>
          </w:tcPr>
          <w:p>
            <w:pPr>
              <w:widowControl/>
              <w:spacing w:line="360" w:lineRule="exact"/>
              <w:jc w:val="center"/>
              <w:rPr>
                <w:rFonts w:ascii="仿宋_GB2312" w:hAnsi="仿宋_GB2312" w:eastAsia="仿宋_GB2312"/>
                <w:sz w:val="28"/>
                <w:szCs w:val="28"/>
              </w:rPr>
            </w:pPr>
            <w:r>
              <w:rPr>
                <w:rFonts w:hint="eastAsia" w:ascii="仿宋_GB2312" w:hAnsi="仿宋_GB2312" w:eastAsia="仿宋_GB2312"/>
                <w:sz w:val="28"/>
                <w:szCs w:val="28"/>
              </w:rPr>
              <w:t>县级权限范围内公路工程竣工验收</w:t>
            </w:r>
          </w:p>
        </w:tc>
        <w:tc>
          <w:tcPr>
            <w:tcW w:w="1416" w:type="dxa"/>
            <w:tcBorders>
              <w:top w:val="single" w:color="000000" w:sz="2" w:space="0"/>
              <w:left w:val="single" w:color="auto" w:sz="4" w:space="0"/>
              <w:bottom w:val="single" w:color="000000" w:sz="2" w:space="0"/>
              <w:right w:val="single" w:color="auto" w:sz="4" w:space="0"/>
            </w:tcBorders>
            <w:tcMar>
              <w:top w:w="0" w:type="dxa"/>
              <w:left w:w="0" w:type="dxa"/>
              <w:bottom w:w="0" w:type="dxa"/>
              <w:right w:w="0" w:type="dxa"/>
            </w:tcMar>
            <w:vAlign w:val="center"/>
          </w:tcPr>
          <w:p>
            <w:pPr>
              <w:widowControl/>
              <w:spacing w:line="360" w:lineRule="exact"/>
              <w:ind w:firstLine="280" w:firstLineChars="100"/>
              <w:jc w:val="center"/>
              <w:rPr>
                <w:rFonts w:ascii="仿宋_GB2312" w:hAnsi="仿宋_GB2312" w:eastAsia="仿宋_GB2312"/>
                <w:sz w:val="28"/>
                <w:szCs w:val="28"/>
              </w:rPr>
            </w:pPr>
            <w:r>
              <w:rPr>
                <w:rFonts w:hint="eastAsia" w:ascii="仿宋_GB2312" w:hAnsi="仿宋_GB2312" w:eastAsia="仿宋_GB2312"/>
                <w:sz w:val="28"/>
                <w:szCs w:val="28"/>
              </w:rPr>
              <w:t>行政许可</w:t>
            </w:r>
          </w:p>
        </w:tc>
        <w:tc>
          <w:tcPr>
            <w:tcW w:w="2261" w:type="dxa"/>
            <w:tcBorders>
              <w:top w:val="single" w:color="000000" w:sz="2" w:space="0"/>
              <w:left w:val="single" w:color="auto" w:sz="4" w:space="0"/>
              <w:bottom w:val="single" w:color="000000" w:sz="2" w:space="0"/>
              <w:right w:val="single" w:color="000000" w:sz="2" w:space="0"/>
            </w:tcBorders>
            <w:tcMar>
              <w:top w:w="0" w:type="dxa"/>
              <w:left w:w="0" w:type="dxa"/>
              <w:bottom w:w="0" w:type="dxa"/>
              <w:right w:w="0" w:type="dxa"/>
            </w:tcMar>
            <w:vAlign w:val="center"/>
          </w:tcPr>
          <w:p>
            <w:pPr>
              <w:widowControl/>
              <w:spacing w:line="360" w:lineRule="exact"/>
              <w:rPr>
                <w:rFonts w:ascii="仿宋_GB2312" w:hAnsi="仿宋_GB2312" w:eastAsia="仿宋_GB2312"/>
                <w:sz w:val="28"/>
                <w:szCs w:val="28"/>
              </w:rPr>
            </w:pPr>
            <w:r>
              <w:rPr>
                <w:rFonts w:hint="eastAsia" w:ascii="仿宋_GB2312" w:hAnsi="仿宋_GB2312" w:eastAsia="仿宋_GB2312"/>
                <w:sz w:val="21"/>
                <w:szCs w:val="21"/>
              </w:rPr>
              <w:t>项目执行报告、设计工作报告、施工总结报告和监理工作报告，竣工决算的核备意见、审计报告及认定意见</w:t>
            </w:r>
          </w:p>
        </w:tc>
        <w:tc>
          <w:tcPr>
            <w:tcW w:w="5736"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仿宋_GB2312" w:hAnsi="仿宋_GB2312" w:eastAsia="仿宋_GB2312"/>
                <w:sz w:val="21"/>
                <w:szCs w:val="21"/>
              </w:rPr>
            </w:pPr>
            <w:r>
              <w:rPr>
                <w:rFonts w:hint="eastAsia" w:ascii="仿宋_GB2312" w:hAnsi="仿宋_GB2312" w:eastAsia="仿宋_GB2312"/>
                <w:sz w:val="21"/>
                <w:szCs w:val="21"/>
              </w:rPr>
              <w:t>《公路工程竣（交）工验收办法实施细则》第十四条</w:t>
            </w:r>
            <w:r>
              <w:rPr>
                <w:rFonts w:ascii="仿宋_GB2312" w:hAnsi="仿宋_GB2312" w:eastAsia="仿宋_GB2312"/>
                <w:sz w:val="21"/>
                <w:szCs w:val="21"/>
              </w:rPr>
              <w:t xml:space="preserve"> </w:t>
            </w:r>
            <w:r>
              <w:rPr>
                <w:rFonts w:hint="eastAsia" w:ascii="仿宋_GB2312" w:hAnsi="仿宋_GB2312" w:eastAsia="仿宋_GB2312"/>
                <w:sz w:val="21"/>
                <w:szCs w:val="21"/>
              </w:rPr>
              <w:t>（一）公路工程符合竣工验收条件后，项目法人应按照公路工程管理权限及时向相关交通运输主管部门提出验收申请，其主要内容包括：</w:t>
            </w:r>
            <w:r>
              <w:rPr>
                <w:rFonts w:ascii="仿宋_GB2312" w:hAnsi="仿宋_GB2312" w:eastAsia="仿宋_GB2312"/>
                <w:sz w:val="21"/>
                <w:szCs w:val="21"/>
              </w:rPr>
              <w:t>2.</w:t>
            </w:r>
            <w:r>
              <w:rPr>
                <w:rFonts w:hint="eastAsia" w:ascii="仿宋_GB2312" w:hAnsi="仿宋_GB2312" w:eastAsia="仿宋_GB2312"/>
                <w:sz w:val="21"/>
                <w:szCs w:val="21"/>
              </w:rPr>
              <w:t>项目执行报告、设计工作报告、施工总结报告和监理工作报告。</w:t>
            </w:r>
          </w:p>
        </w:tc>
        <w:tc>
          <w:tcPr>
            <w:tcW w:w="105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仿宋" w:hAnsi="仿宋" w:eastAsia="仿宋" w:cs="仿宋"/>
                <w:sz w:val="28"/>
                <w:szCs w:val="28"/>
              </w:rPr>
            </w:pPr>
          </w:p>
        </w:tc>
        <w:tc>
          <w:tcPr>
            <w:tcW w:w="1053" w:type="dxa"/>
            <w:tcBorders>
              <w:top w:val="single" w:color="auto" w:sz="4" w:space="0"/>
              <w:left w:val="single" w:color="000000" w:sz="2" w:space="0"/>
              <w:bottom w:val="single" w:color="auto" w:sz="4"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仿宋" w:hAnsi="仿宋" w:eastAsia="仿宋" w:cs="仿宋"/>
                <w:sz w:val="28"/>
                <w:szCs w:val="28"/>
              </w:rPr>
            </w:pPr>
            <w:r>
              <w:rPr>
                <w:rFonts w:hint="eastAsia" w:ascii="仿宋" w:hAnsi="仿宋" w:eastAsia="仿宋" w:cs="仿宋"/>
                <w:sz w:val="28"/>
                <w:szCs w:val="28"/>
                <w:lang w:eastAsia="zh-CN"/>
              </w:rPr>
              <w:t>保留</w:t>
            </w:r>
          </w:p>
        </w:tc>
        <w:tc>
          <w:tcPr>
            <w:tcW w:w="2174" w:type="dxa"/>
            <w:tcBorders>
              <w:top w:val="single" w:color="auto" w:sz="4" w:space="0"/>
              <w:left w:val="single" w:color="000000" w:sz="2" w:space="0"/>
              <w:bottom w:val="single" w:color="auto" w:sz="4" w:space="0"/>
              <w:right w:val="single" w:color="000000" w:sz="2" w:space="0"/>
            </w:tcBorders>
            <w:vAlign w:val="center"/>
          </w:tcPr>
          <w:p>
            <w:pPr>
              <w:pStyle w:val="3"/>
              <w:widowControl/>
              <w:spacing w:before="0" w:beforeAutospacing="0" w:after="0" w:afterAutospacing="0" w:line="360" w:lineRule="exact"/>
              <w:jc w:val="center"/>
              <w:rPr>
                <w:rFonts w:ascii="仿宋" w:hAnsi="仿宋" w:eastAsia="仿宋" w:cs="仿宋"/>
                <w:sz w:val="28"/>
                <w:szCs w:val="28"/>
              </w:rPr>
            </w:pPr>
            <w:r>
              <w:rPr>
                <w:rFonts w:hint="eastAsia" w:ascii="仿宋" w:hAnsi="仿宋" w:eastAsia="仿宋" w:cs="仿宋"/>
                <w:sz w:val="28"/>
                <w:szCs w:val="28"/>
                <w:lang w:val="en-US" w:eastAsia="zh-CN"/>
              </w:rPr>
              <w:t>否</w:t>
            </w:r>
          </w:p>
        </w:tc>
      </w:tr>
      <w:tr>
        <w:tblPrEx>
          <w:tblCellMar>
            <w:top w:w="15" w:type="dxa"/>
            <w:left w:w="15" w:type="dxa"/>
            <w:bottom w:w="15" w:type="dxa"/>
            <w:right w:w="15" w:type="dxa"/>
          </w:tblCellMar>
        </w:tblPrEx>
        <w:trPr>
          <w:trHeight w:val="90" w:hRule="atLeast"/>
        </w:trPr>
        <w:tc>
          <w:tcPr>
            <w:tcW w:w="528"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widowControl/>
              <w:spacing w:line="360" w:lineRule="exact"/>
              <w:jc w:val="center"/>
              <w:rPr>
                <w:rFonts w:ascii="仿宋" w:hAnsi="仿宋" w:eastAsia="仿宋" w:cs="仿宋"/>
                <w:sz w:val="28"/>
                <w:szCs w:val="28"/>
              </w:rPr>
            </w:pPr>
          </w:p>
        </w:tc>
        <w:tc>
          <w:tcPr>
            <w:tcW w:w="1913" w:type="dxa"/>
            <w:tcBorders>
              <w:top w:val="single" w:color="auto" w:sz="4" w:space="0"/>
              <w:left w:val="single" w:color="000000" w:sz="2" w:space="0"/>
              <w:bottom w:val="single" w:color="auto" w:sz="4" w:space="0"/>
              <w:right w:val="single" w:color="auto" w:sz="4" w:space="0"/>
            </w:tcBorders>
            <w:tcMar>
              <w:top w:w="0" w:type="dxa"/>
              <w:left w:w="0" w:type="dxa"/>
              <w:bottom w:w="0" w:type="dxa"/>
              <w:right w:w="0" w:type="dxa"/>
            </w:tcMar>
            <w:vAlign w:val="center"/>
          </w:tcPr>
          <w:p>
            <w:pPr>
              <w:widowControl/>
              <w:spacing w:line="360" w:lineRule="exact"/>
              <w:jc w:val="center"/>
              <w:rPr>
                <w:rFonts w:ascii="仿宋_GB2312" w:hAnsi="仿宋_GB2312" w:eastAsia="仿宋_GB2312"/>
                <w:sz w:val="28"/>
                <w:szCs w:val="28"/>
              </w:rPr>
            </w:pPr>
            <w:r>
              <w:rPr>
                <w:rFonts w:hint="eastAsia" w:ascii="仿宋_GB2312" w:hAnsi="仿宋_GB2312" w:eastAsia="仿宋_GB2312"/>
                <w:sz w:val="28"/>
                <w:szCs w:val="28"/>
              </w:rPr>
              <w:t>客运站（场）站级核定</w:t>
            </w:r>
          </w:p>
        </w:tc>
        <w:tc>
          <w:tcPr>
            <w:tcW w:w="1416" w:type="dxa"/>
            <w:tcBorders>
              <w:top w:val="single" w:color="000000" w:sz="2" w:space="0"/>
              <w:left w:val="single" w:color="auto" w:sz="4" w:space="0"/>
              <w:bottom w:val="single" w:color="000000" w:sz="2" w:space="0"/>
              <w:right w:val="single" w:color="auto" w:sz="4" w:space="0"/>
            </w:tcBorders>
            <w:tcMar>
              <w:top w:w="0" w:type="dxa"/>
              <w:left w:w="0" w:type="dxa"/>
              <w:bottom w:w="0" w:type="dxa"/>
              <w:right w:w="0" w:type="dxa"/>
            </w:tcMar>
            <w:vAlign w:val="center"/>
          </w:tcPr>
          <w:p>
            <w:pPr>
              <w:widowControl/>
              <w:spacing w:line="360" w:lineRule="exact"/>
              <w:ind w:firstLine="280" w:firstLineChars="100"/>
              <w:jc w:val="center"/>
              <w:rPr>
                <w:rFonts w:ascii="仿宋_GB2312" w:hAnsi="仿宋_GB2312" w:eastAsia="仿宋_GB2312"/>
                <w:sz w:val="28"/>
                <w:szCs w:val="28"/>
              </w:rPr>
            </w:pPr>
            <w:r>
              <w:rPr>
                <w:rFonts w:hint="eastAsia" w:ascii="仿宋_GB2312" w:hAnsi="仿宋_GB2312" w:eastAsia="仿宋_GB2312"/>
                <w:sz w:val="28"/>
                <w:szCs w:val="28"/>
              </w:rPr>
              <w:t>行政确认</w:t>
            </w:r>
          </w:p>
        </w:tc>
        <w:tc>
          <w:tcPr>
            <w:tcW w:w="2261" w:type="dxa"/>
            <w:tcBorders>
              <w:top w:val="single" w:color="000000" w:sz="2" w:space="0"/>
              <w:left w:val="single" w:color="auto" w:sz="4" w:space="0"/>
              <w:bottom w:val="single" w:color="000000" w:sz="2" w:space="0"/>
              <w:right w:val="single" w:color="000000" w:sz="2" w:space="0"/>
            </w:tcBorders>
            <w:tcMar>
              <w:top w:w="0" w:type="dxa"/>
              <w:left w:w="0" w:type="dxa"/>
              <w:bottom w:w="0" w:type="dxa"/>
              <w:right w:w="0" w:type="dxa"/>
            </w:tcMar>
            <w:vAlign w:val="center"/>
          </w:tcPr>
          <w:p>
            <w:pPr>
              <w:widowControl/>
              <w:spacing w:line="360" w:lineRule="exact"/>
              <w:rPr>
                <w:rFonts w:ascii="仿宋_GB2312" w:hAnsi="仿宋_GB2312" w:eastAsia="仿宋_GB2312"/>
                <w:sz w:val="28"/>
                <w:szCs w:val="28"/>
              </w:rPr>
            </w:pPr>
            <w:r>
              <w:rPr>
                <w:rFonts w:hint="eastAsia" w:ascii="仿宋_GB2312" w:hAnsi="仿宋_GB2312" w:eastAsia="仿宋_GB2312"/>
                <w:sz w:val="28"/>
                <w:szCs w:val="28"/>
              </w:rPr>
              <w:t>客运站站级核定申请，竣工验收合格证明材料或营业执照</w:t>
            </w:r>
          </w:p>
        </w:tc>
        <w:tc>
          <w:tcPr>
            <w:tcW w:w="5736"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仿宋_GB2312" w:hAnsi="仿宋_GB2312" w:eastAsia="仿宋_GB2312"/>
                <w:sz w:val="21"/>
                <w:szCs w:val="21"/>
              </w:rPr>
            </w:pPr>
            <w:r>
              <w:rPr>
                <w:rFonts w:hint="eastAsia" w:ascii="仿宋_GB2312" w:hAnsi="仿宋_GB2312" w:eastAsia="仿宋_GB2312"/>
                <w:sz w:val="21"/>
                <w:szCs w:val="21"/>
              </w:rPr>
              <w:t>《道路运输管理工作规范》（交运便字〔</w:t>
            </w:r>
            <w:r>
              <w:rPr>
                <w:rFonts w:ascii="仿宋_GB2312" w:hAnsi="仿宋_GB2312" w:eastAsia="仿宋_GB2312"/>
                <w:sz w:val="21"/>
                <w:szCs w:val="21"/>
              </w:rPr>
              <w:t>2014</w:t>
            </w:r>
            <w:r>
              <w:rPr>
                <w:rFonts w:hint="eastAsia" w:ascii="仿宋_GB2312" w:hAnsi="仿宋_GB2312" w:eastAsia="仿宋_GB2312"/>
                <w:sz w:val="21"/>
                <w:szCs w:val="21"/>
              </w:rPr>
              <w:t>〕</w:t>
            </w:r>
            <w:r>
              <w:rPr>
                <w:rFonts w:ascii="仿宋_GB2312" w:hAnsi="仿宋_GB2312" w:eastAsia="仿宋_GB2312"/>
                <w:sz w:val="21"/>
                <w:szCs w:val="21"/>
              </w:rPr>
              <w:t>181</w:t>
            </w:r>
            <w:r>
              <w:rPr>
                <w:rFonts w:hint="eastAsia" w:ascii="仿宋_GB2312" w:hAnsi="仿宋_GB2312" w:eastAsia="仿宋_GB2312"/>
                <w:sz w:val="21"/>
                <w:szCs w:val="21"/>
              </w:rPr>
              <w:t>号）</w:t>
            </w:r>
            <w:r>
              <w:rPr>
                <w:rFonts w:ascii="仿宋_GB2312" w:hAnsi="仿宋_GB2312" w:eastAsia="仿宋_GB2312"/>
                <w:sz w:val="21"/>
                <w:szCs w:val="21"/>
              </w:rPr>
              <w:t xml:space="preserve"> </w:t>
            </w:r>
            <w:r>
              <w:rPr>
                <w:rFonts w:hint="eastAsia" w:ascii="仿宋_GB2312" w:hAnsi="仿宋_GB2312" w:eastAsia="仿宋_GB2312"/>
                <w:sz w:val="21"/>
                <w:szCs w:val="21"/>
              </w:rPr>
              <w:t>第七章《道路客运站管理工作规范》第一节客运站站级核定一、客运站站级核定申请及受理权限客运站经有关部门组织的工程竣工验收合格后，申请人凭竣工验收合格证明，向道路运输管理机构提出核定申请，并提交《道路客运站站级核定申请表》。（一）省级道路运输管理机构负责一、二级客运站站级核定。（二）设区的市级道路运输管理机构负责三级客运站站级核定。（三）县级道路运输管理机构负责其他级别的客运站站级核定。</w:t>
            </w:r>
          </w:p>
        </w:tc>
        <w:tc>
          <w:tcPr>
            <w:tcW w:w="105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仿宋" w:hAnsi="仿宋" w:eastAsia="仿宋" w:cs="仿宋"/>
                <w:sz w:val="28"/>
                <w:szCs w:val="28"/>
              </w:rPr>
            </w:pPr>
          </w:p>
        </w:tc>
        <w:tc>
          <w:tcPr>
            <w:tcW w:w="1053" w:type="dxa"/>
            <w:tcBorders>
              <w:top w:val="single" w:color="auto" w:sz="4" w:space="0"/>
              <w:left w:val="single" w:color="000000" w:sz="2" w:space="0"/>
              <w:bottom w:val="single" w:color="auto" w:sz="4"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仿宋" w:hAnsi="仿宋" w:eastAsia="仿宋" w:cs="仿宋"/>
                <w:sz w:val="28"/>
                <w:szCs w:val="28"/>
              </w:rPr>
            </w:pPr>
            <w:r>
              <w:rPr>
                <w:rFonts w:hint="eastAsia" w:ascii="仿宋" w:hAnsi="仿宋" w:eastAsia="仿宋" w:cs="仿宋"/>
                <w:sz w:val="28"/>
                <w:szCs w:val="28"/>
                <w:lang w:eastAsia="zh-CN"/>
              </w:rPr>
              <w:t>保留</w:t>
            </w:r>
          </w:p>
        </w:tc>
        <w:tc>
          <w:tcPr>
            <w:tcW w:w="2174" w:type="dxa"/>
            <w:tcBorders>
              <w:top w:val="single" w:color="auto" w:sz="4" w:space="0"/>
              <w:left w:val="single" w:color="000000" w:sz="2" w:space="0"/>
              <w:bottom w:val="single" w:color="auto" w:sz="4" w:space="0"/>
              <w:right w:val="single" w:color="000000" w:sz="2" w:space="0"/>
            </w:tcBorders>
            <w:vAlign w:val="center"/>
          </w:tcPr>
          <w:p>
            <w:pPr>
              <w:pStyle w:val="3"/>
              <w:widowControl/>
              <w:spacing w:before="0" w:beforeAutospacing="0" w:after="0" w:afterAutospacing="0" w:line="360" w:lineRule="exact"/>
              <w:jc w:val="center"/>
              <w:rPr>
                <w:rFonts w:ascii="仿宋" w:hAnsi="仿宋" w:eastAsia="仿宋" w:cs="仿宋"/>
                <w:sz w:val="28"/>
                <w:szCs w:val="28"/>
              </w:rPr>
            </w:pPr>
            <w:r>
              <w:rPr>
                <w:rFonts w:hint="eastAsia" w:ascii="仿宋" w:hAnsi="仿宋" w:eastAsia="仿宋" w:cs="仿宋"/>
                <w:sz w:val="28"/>
                <w:szCs w:val="28"/>
                <w:lang w:val="en-US" w:eastAsia="zh-CN"/>
              </w:rPr>
              <w:t>否</w:t>
            </w:r>
          </w:p>
        </w:tc>
      </w:tr>
      <w:tr>
        <w:tblPrEx>
          <w:tblCellMar>
            <w:top w:w="15" w:type="dxa"/>
            <w:left w:w="15" w:type="dxa"/>
            <w:bottom w:w="15" w:type="dxa"/>
            <w:right w:w="15" w:type="dxa"/>
          </w:tblCellMar>
        </w:tblPrEx>
        <w:trPr>
          <w:trHeight w:val="915" w:hRule="atLeast"/>
        </w:trPr>
        <w:tc>
          <w:tcPr>
            <w:tcW w:w="528"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widowControl/>
              <w:spacing w:line="360" w:lineRule="exact"/>
              <w:jc w:val="center"/>
              <w:rPr>
                <w:rFonts w:ascii="仿宋" w:hAnsi="仿宋" w:eastAsia="仿宋" w:cs="仿宋"/>
                <w:sz w:val="28"/>
                <w:szCs w:val="28"/>
              </w:rPr>
            </w:pPr>
          </w:p>
        </w:tc>
        <w:tc>
          <w:tcPr>
            <w:tcW w:w="1913" w:type="dxa"/>
            <w:tcBorders>
              <w:top w:val="single" w:color="auto" w:sz="4" w:space="0"/>
              <w:left w:val="single" w:color="000000" w:sz="2" w:space="0"/>
              <w:bottom w:val="single" w:color="auto" w:sz="4" w:space="0"/>
              <w:right w:val="single" w:color="auto" w:sz="4" w:space="0"/>
            </w:tcBorders>
            <w:tcMar>
              <w:top w:w="0" w:type="dxa"/>
              <w:left w:w="0" w:type="dxa"/>
              <w:bottom w:w="0" w:type="dxa"/>
              <w:right w:w="0" w:type="dxa"/>
            </w:tcMar>
            <w:vAlign w:val="center"/>
          </w:tcPr>
          <w:p>
            <w:pPr>
              <w:widowControl/>
              <w:spacing w:line="360" w:lineRule="exact"/>
              <w:jc w:val="center"/>
              <w:rPr>
                <w:rFonts w:ascii="仿宋_GB2312" w:hAnsi="仿宋_GB2312" w:eastAsia="仿宋_GB2312"/>
                <w:sz w:val="28"/>
                <w:szCs w:val="28"/>
              </w:rPr>
            </w:pPr>
            <w:r>
              <w:rPr>
                <w:rFonts w:hint="eastAsia" w:ascii="仿宋_GB2312" w:hAnsi="仿宋_GB2312" w:eastAsia="仿宋_GB2312"/>
                <w:w w:val="90"/>
                <w:sz w:val="24"/>
                <w:szCs w:val="24"/>
              </w:rPr>
              <w:t>裁决客运经营者发车时间安排纠纷</w:t>
            </w:r>
          </w:p>
        </w:tc>
        <w:tc>
          <w:tcPr>
            <w:tcW w:w="1416" w:type="dxa"/>
            <w:tcBorders>
              <w:top w:val="single" w:color="000000" w:sz="2" w:space="0"/>
              <w:left w:val="single" w:color="auto" w:sz="4" w:space="0"/>
              <w:bottom w:val="single" w:color="000000" w:sz="2" w:space="0"/>
              <w:right w:val="single" w:color="auto" w:sz="4" w:space="0"/>
            </w:tcBorders>
            <w:tcMar>
              <w:top w:w="0" w:type="dxa"/>
              <w:left w:w="0" w:type="dxa"/>
              <w:bottom w:w="0" w:type="dxa"/>
              <w:right w:w="0" w:type="dxa"/>
            </w:tcMar>
            <w:vAlign w:val="center"/>
          </w:tcPr>
          <w:p>
            <w:pPr>
              <w:widowControl/>
              <w:spacing w:line="360" w:lineRule="exact"/>
              <w:ind w:firstLine="280" w:firstLineChars="100"/>
              <w:jc w:val="center"/>
              <w:rPr>
                <w:rFonts w:ascii="仿宋_GB2312" w:hAnsi="仿宋_GB2312" w:eastAsia="仿宋_GB2312"/>
                <w:sz w:val="28"/>
                <w:szCs w:val="28"/>
              </w:rPr>
            </w:pPr>
            <w:r>
              <w:rPr>
                <w:rFonts w:hint="eastAsia" w:ascii="仿宋_GB2312" w:hAnsi="仿宋_GB2312" w:eastAsia="仿宋_GB2312"/>
                <w:sz w:val="28"/>
                <w:szCs w:val="28"/>
              </w:rPr>
              <w:t>行政裁决</w:t>
            </w:r>
          </w:p>
        </w:tc>
        <w:tc>
          <w:tcPr>
            <w:tcW w:w="2261" w:type="dxa"/>
            <w:tcBorders>
              <w:top w:val="single" w:color="000000" w:sz="2" w:space="0"/>
              <w:left w:val="single" w:color="auto" w:sz="4" w:space="0"/>
              <w:bottom w:val="single" w:color="000000" w:sz="2" w:space="0"/>
              <w:right w:val="single" w:color="000000" w:sz="2" w:space="0"/>
            </w:tcBorders>
            <w:tcMar>
              <w:top w:w="0" w:type="dxa"/>
              <w:left w:w="0" w:type="dxa"/>
              <w:bottom w:w="0" w:type="dxa"/>
              <w:right w:w="0" w:type="dxa"/>
            </w:tcMar>
            <w:vAlign w:val="center"/>
          </w:tcPr>
          <w:p>
            <w:pPr>
              <w:widowControl/>
              <w:spacing w:line="280" w:lineRule="exact"/>
              <w:jc w:val="center"/>
              <w:rPr>
                <w:rFonts w:ascii="仿宋_GB2312" w:hAnsi="仿宋_GB2312" w:eastAsia="仿宋_GB2312"/>
                <w:w w:val="80"/>
                <w:sz w:val="24"/>
                <w:szCs w:val="24"/>
              </w:rPr>
            </w:pPr>
            <w:r>
              <w:rPr>
                <w:rFonts w:hint="eastAsia" w:ascii="仿宋_GB2312" w:hAnsi="仿宋_GB2312" w:eastAsia="仿宋_GB2312"/>
                <w:w w:val="80"/>
                <w:sz w:val="24"/>
                <w:szCs w:val="24"/>
              </w:rPr>
              <w:t>进站协议，发班时间表</w:t>
            </w:r>
          </w:p>
        </w:tc>
        <w:tc>
          <w:tcPr>
            <w:tcW w:w="5736"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widowControl/>
              <w:spacing w:line="360" w:lineRule="exact"/>
              <w:rPr>
                <w:rFonts w:ascii="仿宋_GB2312" w:hAnsi="仿宋_GB2312" w:eastAsia="仿宋_GB2312"/>
                <w:sz w:val="28"/>
                <w:szCs w:val="28"/>
              </w:rPr>
            </w:pPr>
            <w:r>
              <w:rPr>
                <w:rFonts w:hint="eastAsia" w:ascii="仿宋_GB2312" w:hAnsi="仿宋_GB2312" w:eastAsia="仿宋_GB2312"/>
                <w:sz w:val="28"/>
                <w:szCs w:val="28"/>
              </w:rPr>
              <w:t>《道路旅客运输及客运站管理规定》第</w:t>
            </w:r>
            <w:r>
              <w:rPr>
                <w:rFonts w:ascii="仿宋_GB2312" w:hAnsi="仿宋_GB2312" w:eastAsia="仿宋_GB2312"/>
                <w:sz w:val="28"/>
                <w:szCs w:val="28"/>
              </w:rPr>
              <w:t>62</w:t>
            </w:r>
            <w:r>
              <w:rPr>
                <w:rFonts w:hint="eastAsia" w:ascii="仿宋_GB2312" w:hAnsi="仿宋_GB2312" w:eastAsia="仿宋_GB2312"/>
                <w:sz w:val="28"/>
                <w:szCs w:val="28"/>
              </w:rPr>
              <w:t>条</w:t>
            </w:r>
          </w:p>
        </w:tc>
        <w:tc>
          <w:tcPr>
            <w:tcW w:w="105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仿宋" w:hAnsi="仿宋" w:eastAsia="仿宋" w:cs="仿宋"/>
                <w:sz w:val="28"/>
                <w:szCs w:val="28"/>
              </w:rPr>
            </w:pPr>
          </w:p>
        </w:tc>
        <w:tc>
          <w:tcPr>
            <w:tcW w:w="1053" w:type="dxa"/>
            <w:tcBorders>
              <w:top w:val="single" w:color="auto" w:sz="4" w:space="0"/>
              <w:left w:val="single" w:color="000000" w:sz="2" w:space="0"/>
              <w:bottom w:val="single" w:color="auto" w:sz="4"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仿宋" w:hAnsi="仿宋" w:eastAsia="仿宋" w:cs="仿宋"/>
                <w:sz w:val="28"/>
                <w:szCs w:val="28"/>
              </w:rPr>
            </w:pPr>
            <w:r>
              <w:rPr>
                <w:rFonts w:hint="eastAsia" w:ascii="仿宋" w:hAnsi="仿宋" w:eastAsia="仿宋" w:cs="仿宋"/>
                <w:sz w:val="28"/>
                <w:szCs w:val="28"/>
                <w:lang w:eastAsia="zh-CN"/>
              </w:rPr>
              <w:t>保留</w:t>
            </w:r>
          </w:p>
        </w:tc>
        <w:tc>
          <w:tcPr>
            <w:tcW w:w="2174" w:type="dxa"/>
            <w:tcBorders>
              <w:top w:val="single" w:color="auto" w:sz="4" w:space="0"/>
              <w:left w:val="single" w:color="000000" w:sz="2" w:space="0"/>
              <w:bottom w:val="single" w:color="auto" w:sz="4" w:space="0"/>
              <w:right w:val="single" w:color="000000" w:sz="2" w:space="0"/>
            </w:tcBorders>
            <w:vAlign w:val="center"/>
          </w:tcPr>
          <w:p>
            <w:pPr>
              <w:pStyle w:val="3"/>
              <w:widowControl/>
              <w:spacing w:before="0" w:beforeAutospacing="0" w:after="0" w:afterAutospacing="0" w:line="360" w:lineRule="exact"/>
              <w:jc w:val="center"/>
              <w:rPr>
                <w:rFonts w:ascii="仿宋" w:hAnsi="仿宋" w:eastAsia="仿宋" w:cs="仿宋"/>
                <w:sz w:val="28"/>
                <w:szCs w:val="28"/>
              </w:rPr>
            </w:pPr>
            <w:r>
              <w:rPr>
                <w:rFonts w:hint="eastAsia" w:ascii="仿宋" w:hAnsi="仿宋" w:eastAsia="仿宋" w:cs="仿宋"/>
                <w:sz w:val="28"/>
                <w:szCs w:val="28"/>
                <w:lang w:val="en-US" w:eastAsia="zh-CN"/>
              </w:rPr>
              <w:t>否</w:t>
            </w:r>
          </w:p>
        </w:tc>
      </w:tr>
      <w:tr>
        <w:tblPrEx>
          <w:tblCellMar>
            <w:top w:w="15" w:type="dxa"/>
            <w:left w:w="15" w:type="dxa"/>
            <w:bottom w:w="15" w:type="dxa"/>
            <w:right w:w="15" w:type="dxa"/>
          </w:tblCellMar>
        </w:tblPrEx>
        <w:trPr>
          <w:trHeight w:val="552" w:hRule="atLeast"/>
        </w:trPr>
        <w:tc>
          <w:tcPr>
            <w:tcW w:w="528"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widowControl/>
              <w:spacing w:line="360" w:lineRule="exact"/>
              <w:jc w:val="center"/>
              <w:rPr>
                <w:rFonts w:ascii="仿宋" w:hAnsi="仿宋" w:eastAsia="仿宋" w:cs="仿宋"/>
                <w:sz w:val="28"/>
                <w:szCs w:val="28"/>
              </w:rPr>
            </w:pPr>
          </w:p>
        </w:tc>
        <w:tc>
          <w:tcPr>
            <w:tcW w:w="1913" w:type="dxa"/>
            <w:tcBorders>
              <w:top w:val="single" w:color="auto" w:sz="4" w:space="0"/>
              <w:left w:val="single" w:color="000000" w:sz="2" w:space="0"/>
              <w:bottom w:val="single" w:color="auto" w:sz="4" w:space="0"/>
              <w:right w:val="single" w:color="auto" w:sz="4" w:space="0"/>
            </w:tcBorders>
            <w:tcMar>
              <w:top w:w="0" w:type="dxa"/>
              <w:left w:w="0" w:type="dxa"/>
              <w:bottom w:w="0" w:type="dxa"/>
              <w:right w:w="0" w:type="dxa"/>
            </w:tcMar>
            <w:vAlign w:val="center"/>
          </w:tcPr>
          <w:p>
            <w:pPr>
              <w:widowControl/>
              <w:spacing w:line="360" w:lineRule="exact"/>
              <w:jc w:val="center"/>
              <w:rPr>
                <w:rFonts w:ascii="仿宋_GB2312" w:hAnsi="仿宋_GB2312" w:eastAsia="仿宋_GB2312"/>
                <w:sz w:val="28"/>
                <w:szCs w:val="28"/>
              </w:rPr>
            </w:pPr>
            <w:r>
              <w:rPr>
                <w:rFonts w:hint="eastAsia" w:ascii="仿宋_GB2312" w:hAnsi="仿宋_GB2312" w:eastAsia="仿宋_GB2312"/>
                <w:sz w:val="28"/>
                <w:szCs w:val="28"/>
              </w:rPr>
              <w:t>道路运输企业新建或者变更监控平台备案</w:t>
            </w:r>
          </w:p>
        </w:tc>
        <w:tc>
          <w:tcPr>
            <w:tcW w:w="1416" w:type="dxa"/>
            <w:tcBorders>
              <w:top w:val="single" w:color="000000" w:sz="2" w:space="0"/>
              <w:left w:val="single" w:color="auto" w:sz="4" w:space="0"/>
              <w:bottom w:val="single" w:color="000000" w:sz="2" w:space="0"/>
              <w:right w:val="single" w:color="auto" w:sz="4" w:space="0"/>
            </w:tcBorders>
            <w:tcMar>
              <w:top w:w="0" w:type="dxa"/>
              <w:left w:w="0" w:type="dxa"/>
              <w:bottom w:w="0" w:type="dxa"/>
              <w:right w:w="0" w:type="dxa"/>
            </w:tcMar>
            <w:vAlign w:val="center"/>
          </w:tcPr>
          <w:p>
            <w:pPr>
              <w:widowControl/>
              <w:spacing w:line="360" w:lineRule="exact"/>
              <w:ind w:firstLine="280" w:firstLineChars="100"/>
              <w:jc w:val="center"/>
              <w:rPr>
                <w:rFonts w:ascii="仿宋_GB2312" w:hAnsi="仿宋_GB2312" w:eastAsia="仿宋_GB2312"/>
                <w:sz w:val="28"/>
                <w:szCs w:val="28"/>
              </w:rPr>
            </w:pPr>
            <w:r>
              <w:rPr>
                <w:rFonts w:hint="eastAsia" w:ascii="仿宋_GB2312" w:hAnsi="仿宋_GB2312" w:eastAsia="仿宋_GB2312"/>
                <w:sz w:val="28"/>
                <w:szCs w:val="28"/>
              </w:rPr>
              <w:t>其他行政权力</w:t>
            </w:r>
          </w:p>
        </w:tc>
        <w:tc>
          <w:tcPr>
            <w:tcW w:w="2261" w:type="dxa"/>
            <w:tcBorders>
              <w:top w:val="single" w:color="000000" w:sz="2" w:space="0"/>
              <w:left w:val="single" w:color="auto" w:sz="4" w:space="0"/>
              <w:bottom w:val="single" w:color="000000" w:sz="2" w:space="0"/>
              <w:right w:val="single" w:color="000000" w:sz="2" w:space="0"/>
            </w:tcBorders>
            <w:tcMar>
              <w:top w:w="0" w:type="dxa"/>
              <w:left w:w="0" w:type="dxa"/>
              <w:bottom w:w="0" w:type="dxa"/>
              <w:right w:w="0" w:type="dxa"/>
            </w:tcMar>
            <w:vAlign w:val="center"/>
          </w:tcPr>
          <w:p>
            <w:pPr>
              <w:widowControl/>
              <w:spacing w:line="280" w:lineRule="exact"/>
              <w:rPr>
                <w:rFonts w:ascii="仿宋_GB2312" w:hAnsi="仿宋_GB2312" w:eastAsia="仿宋_GB2312"/>
                <w:w w:val="80"/>
                <w:sz w:val="24"/>
                <w:szCs w:val="24"/>
              </w:rPr>
            </w:pPr>
            <w:r>
              <w:rPr>
                <w:rFonts w:hint="eastAsia" w:ascii="仿宋_GB2312" w:hAnsi="仿宋_GB2312" w:eastAsia="仿宋_GB2312"/>
                <w:w w:val="80"/>
                <w:sz w:val="24"/>
                <w:szCs w:val="24"/>
              </w:rPr>
              <w:t>道路运输企业新建或变更监控平台备案申请表</w:t>
            </w:r>
          </w:p>
        </w:tc>
        <w:tc>
          <w:tcPr>
            <w:tcW w:w="5736"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widowControl/>
              <w:spacing w:line="360" w:lineRule="exact"/>
              <w:rPr>
                <w:rFonts w:ascii="仿宋_GB2312" w:hAnsi="仿宋_GB2312" w:eastAsia="仿宋_GB2312"/>
                <w:sz w:val="24"/>
                <w:szCs w:val="24"/>
              </w:rPr>
            </w:pPr>
            <w:r>
              <w:rPr>
                <w:rFonts w:hint="eastAsia" w:ascii="仿宋_GB2312" w:hAnsi="仿宋_GB2312" w:eastAsia="仿宋_GB2312"/>
                <w:sz w:val="24"/>
                <w:szCs w:val="24"/>
              </w:rPr>
              <w:t>《道路运输车辆动态监督管理办法＞（交通运输部公安部　安全生产监督管理总局令</w:t>
            </w:r>
            <w:r>
              <w:rPr>
                <w:rFonts w:ascii="仿宋_GB2312" w:hAnsi="仿宋_GB2312" w:eastAsia="仿宋_GB2312"/>
                <w:sz w:val="24"/>
                <w:szCs w:val="24"/>
              </w:rPr>
              <w:t>2014</w:t>
            </w:r>
            <w:r>
              <w:rPr>
                <w:rFonts w:hint="eastAsia" w:ascii="仿宋_GB2312" w:hAnsi="仿宋_GB2312" w:eastAsia="仿宋_GB2312"/>
                <w:sz w:val="24"/>
                <w:szCs w:val="24"/>
              </w:rPr>
              <w:t>年第</w:t>
            </w:r>
            <w:r>
              <w:rPr>
                <w:rFonts w:ascii="仿宋_GB2312" w:hAnsi="仿宋_GB2312" w:eastAsia="仿宋_GB2312"/>
                <w:sz w:val="24"/>
                <w:szCs w:val="24"/>
              </w:rPr>
              <w:t>5</w:t>
            </w:r>
            <w:r>
              <w:rPr>
                <w:rFonts w:hint="eastAsia" w:ascii="仿宋_GB2312" w:hAnsi="仿宋_GB2312" w:eastAsia="仿宋_GB2312"/>
                <w:sz w:val="24"/>
                <w:szCs w:val="24"/>
              </w:rPr>
              <w:t>号）第十条道路运输企业新建或者变更监控平台，在投入使用前应当通过有关专业机构的系统平台标准符合性技术审查，并向原发放《道路运输经营许可证》的道路运输管理机构备案。</w:t>
            </w:r>
          </w:p>
        </w:tc>
        <w:tc>
          <w:tcPr>
            <w:tcW w:w="105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仿宋" w:hAnsi="仿宋" w:eastAsia="仿宋" w:cs="仿宋"/>
                <w:sz w:val="28"/>
                <w:szCs w:val="28"/>
              </w:rPr>
            </w:pPr>
          </w:p>
        </w:tc>
        <w:tc>
          <w:tcPr>
            <w:tcW w:w="1053" w:type="dxa"/>
            <w:tcBorders>
              <w:top w:val="single" w:color="auto" w:sz="4" w:space="0"/>
              <w:left w:val="single" w:color="000000" w:sz="2" w:space="0"/>
              <w:bottom w:val="single" w:color="auto" w:sz="4"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仿宋" w:hAnsi="仿宋" w:eastAsia="仿宋" w:cs="仿宋"/>
                <w:sz w:val="28"/>
                <w:szCs w:val="28"/>
              </w:rPr>
            </w:pPr>
            <w:r>
              <w:rPr>
                <w:rFonts w:hint="eastAsia" w:ascii="仿宋" w:hAnsi="仿宋" w:eastAsia="仿宋" w:cs="仿宋"/>
                <w:sz w:val="28"/>
                <w:szCs w:val="28"/>
                <w:lang w:eastAsia="zh-CN"/>
              </w:rPr>
              <w:t>保留</w:t>
            </w:r>
          </w:p>
        </w:tc>
        <w:tc>
          <w:tcPr>
            <w:tcW w:w="2174" w:type="dxa"/>
            <w:tcBorders>
              <w:top w:val="single" w:color="auto" w:sz="4" w:space="0"/>
              <w:left w:val="single" w:color="000000" w:sz="2" w:space="0"/>
              <w:bottom w:val="single" w:color="auto" w:sz="4" w:space="0"/>
              <w:right w:val="single" w:color="000000" w:sz="2" w:space="0"/>
            </w:tcBorders>
            <w:vAlign w:val="center"/>
          </w:tcPr>
          <w:p>
            <w:pPr>
              <w:pStyle w:val="3"/>
              <w:widowControl/>
              <w:spacing w:before="0" w:beforeAutospacing="0" w:after="0" w:afterAutospacing="0" w:line="360" w:lineRule="exact"/>
              <w:jc w:val="center"/>
              <w:rPr>
                <w:rFonts w:ascii="仿宋" w:hAnsi="仿宋" w:eastAsia="仿宋" w:cs="仿宋"/>
                <w:sz w:val="28"/>
                <w:szCs w:val="28"/>
              </w:rPr>
            </w:pPr>
            <w:r>
              <w:rPr>
                <w:rFonts w:hint="eastAsia" w:ascii="仿宋" w:hAnsi="仿宋" w:eastAsia="仿宋" w:cs="仿宋"/>
                <w:sz w:val="28"/>
                <w:szCs w:val="28"/>
                <w:lang w:val="en-US" w:eastAsia="zh-CN"/>
              </w:rPr>
              <w:t>否</w:t>
            </w:r>
          </w:p>
        </w:tc>
      </w:tr>
      <w:tr>
        <w:tblPrEx>
          <w:tblCellMar>
            <w:top w:w="15" w:type="dxa"/>
            <w:left w:w="15" w:type="dxa"/>
            <w:bottom w:w="15" w:type="dxa"/>
            <w:right w:w="15" w:type="dxa"/>
          </w:tblCellMar>
        </w:tblPrEx>
        <w:trPr>
          <w:trHeight w:val="552" w:hRule="atLeast"/>
        </w:trPr>
        <w:tc>
          <w:tcPr>
            <w:tcW w:w="528"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widowControl/>
              <w:spacing w:line="360" w:lineRule="exact"/>
              <w:jc w:val="center"/>
              <w:rPr>
                <w:rFonts w:ascii="仿宋" w:hAnsi="仿宋" w:eastAsia="仿宋" w:cs="仿宋"/>
                <w:sz w:val="28"/>
                <w:szCs w:val="28"/>
              </w:rPr>
            </w:pPr>
          </w:p>
        </w:tc>
        <w:tc>
          <w:tcPr>
            <w:tcW w:w="1913" w:type="dxa"/>
            <w:tcBorders>
              <w:top w:val="single" w:color="auto" w:sz="4" w:space="0"/>
              <w:left w:val="single" w:color="000000" w:sz="2" w:space="0"/>
              <w:bottom w:val="single" w:color="auto" w:sz="4" w:space="0"/>
              <w:right w:val="single" w:color="auto" w:sz="4" w:space="0"/>
            </w:tcBorders>
            <w:tcMar>
              <w:top w:w="0" w:type="dxa"/>
              <w:left w:w="0" w:type="dxa"/>
              <w:bottom w:w="0" w:type="dxa"/>
              <w:right w:w="0" w:type="dxa"/>
            </w:tcMar>
            <w:vAlign w:val="center"/>
          </w:tcPr>
          <w:p>
            <w:pPr>
              <w:widowControl/>
              <w:spacing w:line="360" w:lineRule="exact"/>
              <w:jc w:val="center"/>
              <w:rPr>
                <w:rFonts w:ascii="仿宋_GB2312" w:hAnsi="仿宋_GB2312" w:eastAsia="仿宋_GB2312"/>
                <w:sz w:val="28"/>
                <w:szCs w:val="28"/>
              </w:rPr>
            </w:pPr>
            <w:r>
              <w:rPr>
                <w:rFonts w:hint="eastAsia" w:ascii="仿宋_GB2312" w:hAnsi="仿宋_GB2312" w:eastAsia="仿宋_GB2312"/>
                <w:sz w:val="28"/>
                <w:szCs w:val="28"/>
              </w:rPr>
              <w:t>货运代理（代办）备案</w:t>
            </w:r>
          </w:p>
        </w:tc>
        <w:tc>
          <w:tcPr>
            <w:tcW w:w="1416" w:type="dxa"/>
            <w:tcBorders>
              <w:top w:val="single" w:color="000000" w:sz="2" w:space="0"/>
              <w:left w:val="single" w:color="auto" w:sz="4" w:space="0"/>
              <w:bottom w:val="single" w:color="000000" w:sz="2" w:space="0"/>
              <w:right w:val="single" w:color="auto" w:sz="4" w:space="0"/>
            </w:tcBorders>
            <w:tcMar>
              <w:top w:w="0" w:type="dxa"/>
              <w:left w:w="0" w:type="dxa"/>
              <w:bottom w:w="0" w:type="dxa"/>
              <w:right w:w="0" w:type="dxa"/>
            </w:tcMar>
            <w:vAlign w:val="center"/>
          </w:tcPr>
          <w:p>
            <w:pPr>
              <w:widowControl/>
              <w:spacing w:line="360" w:lineRule="exact"/>
              <w:ind w:firstLine="280" w:firstLineChars="100"/>
              <w:jc w:val="center"/>
              <w:rPr>
                <w:rFonts w:ascii="仿宋_GB2312" w:hAnsi="仿宋_GB2312" w:eastAsia="仿宋_GB2312"/>
                <w:sz w:val="28"/>
                <w:szCs w:val="28"/>
              </w:rPr>
            </w:pPr>
            <w:r>
              <w:rPr>
                <w:rFonts w:hint="eastAsia" w:ascii="仿宋_GB2312" w:hAnsi="仿宋_GB2312" w:eastAsia="仿宋_GB2312"/>
                <w:sz w:val="28"/>
                <w:szCs w:val="28"/>
              </w:rPr>
              <w:t>其他行政权力</w:t>
            </w:r>
          </w:p>
        </w:tc>
        <w:tc>
          <w:tcPr>
            <w:tcW w:w="2261" w:type="dxa"/>
            <w:tcBorders>
              <w:top w:val="single" w:color="000000" w:sz="2" w:space="0"/>
              <w:left w:val="single" w:color="auto" w:sz="4" w:space="0"/>
              <w:bottom w:val="single" w:color="000000" w:sz="2" w:space="0"/>
              <w:right w:val="single" w:color="000000" w:sz="2" w:space="0"/>
            </w:tcBorders>
            <w:tcMar>
              <w:top w:w="0" w:type="dxa"/>
              <w:left w:w="0" w:type="dxa"/>
              <w:bottom w:w="0" w:type="dxa"/>
              <w:right w:w="0" w:type="dxa"/>
            </w:tcMar>
            <w:vAlign w:val="center"/>
          </w:tcPr>
          <w:p>
            <w:pPr>
              <w:widowControl/>
              <w:spacing w:line="280" w:lineRule="exact"/>
              <w:rPr>
                <w:rFonts w:ascii="仿宋_GB2312" w:hAnsi="仿宋_GB2312" w:eastAsia="仿宋_GB2312"/>
                <w:w w:val="80"/>
                <w:sz w:val="24"/>
                <w:szCs w:val="24"/>
              </w:rPr>
            </w:pPr>
            <w:r>
              <w:rPr>
                <w:rFonts w:hint="eastAsia" w:ascii="仿宋_GB2312" w:hAnsi="仿宋_GB2312" w:eastAsia="仿宋_GB2312"/>
                <w:w w:val="80"/>
                <w:sz w:val="24"/>
                <w:szCs w:val="24"/>
              </w:rPr>
              <w:t>货运代理</w:t>
            </w:r>
            <w:r>
              <w:rPr>
                <w:rFonts w:ascii="仿宋_GB2312" w:hAnsi="仿宋_GB2312" w:eastAsia="仿宋_GB2312"/>
                <w:w w:val="80"/>
                <w:sz w:val="24"/>
                <w:szCs w:val="24"/>
              </w:rPr>
              <w:t>(</w:t>
            </w:r>
            <w:r>
              <w:rPr>
                <w:rFonts w:hint="eastAsia" w:ascii="仿宋_GB2312" w:hAnsi="仿宋_GB2312" w:eastAsia="仿宋_GB2312"/>
                <w:w w:val="80"/>
                <w:sz w:val="24"/>
                <w:szCs w:val="24"/>
              </w:rPr>
              <w:t>代办</w:t>
            </w:r>
            <w:r>
              <w:rPr>
                <w:rFonts w:ascii="仿宋_GB2312" w:hAnsi="仿宋_GB2312" w:eastAsia="仿宋_GB2312"/>
                <w:w w:val="80"/>
                <w:sz w:val="24"/>
                <w:szCs w:val="24"/>
              </w:rPr>
              <w:t>)</w:t>
            </w:r>
            <w:r>
              <w:rPr>
                <w:rFonts w:hint="eastAsia" w:ascii="仿宋_GB2312" w:hAnsi="仿宋_GB2312" w:eastAsia="仿宋_GB2312"/>
                <w:w w:val="80"/>
                <w:sz w:val="24"/>
                <w:szCs w:val="24"/>
              </w:rPr>
              <w:t>备案登记表，法定、经办人身份证明和委托书</w:t>
            </w:r>
          </w:p>
        </w:tc>
        <w:tc>
          <w:tcPr>
            <w:tcW w:w="5736"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widowControl/>
              <w:spacing w:line="360" w:lineRule="exact"/>
              <w:rPr>
                <w:rFonts w:ascii="仿宋_GB2312" w:hAnsi="仿宋_GB2312" w:eastAsia="仿宋_GB2312"/>
                <w:sz w:val="24"/>
                <w:szCs w:val="24"/>
              </w:rPr>
            </w:pPr>
            <w:r>
              <w:rPr>
                <w:rFonts w:hint="eastAsia" w:ascii="仿宋_GB2312" w:hAnsi="仿宋_GB2312" w:eastAsia="仿宋_GB2312"/>
                <w:sz w:val="24"/>
                <w:szCs w:val="24"/>
              </w:rPr>
              <w:t>《道路货物运输及站场管理规定》第十五条</w:t>
            </w:r>
            <w:r>
              <w:rPr>
                <w:rFonts w:ascii="仿宋_GB2312" w:hAnsi="仿宋_GB2312" w:eastAsia="仿宋_GB2312"/>
                <w:sz w:val="24"/>
                <w:szCs w:val="24"/>
              </w:rPr>
              <w:t xml:space="preserve"> </w:t>
            </w:r>
            <w:r>
              <w:rPr>
                <w:rFonts w:hint="eastAsia" w:ascii="仿宋_GB2312" w:hAnsi="仿宋_GB2312" w:eastAsia="仿宋_GB2312"/>
                <w:sz w:val="24"/>
                <w:szCs w:val="24"/>
              </w:rPr>
              <w:t>从事货运代理（代办）等货运相关服务的经营者，应当依法到工商行政管理机关办理有关登记手续，并持有关登记证件到设立地的道路运输管理机构备案</w:t>
            </w:r>
          </w:p>
        </w:tc>
        <w:tc>
          <w:tcPr>
            <w:tcW w:w="105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仿宋" w:hAnsi="仿宋" w:eastAsia="仿宋" w:cs="仿宋"/>
                <w:sz w:val="28"/>
                <w:szCs w:val="28"/>
              </w:rPr>
            </w:pPr>
          </w:p>
        </w:tc>
        <w:tc>
          <w:tcPr>
            <w:tcW w:w="1053" w:type="dxa"/>
            <w:tcBorders>
              <w:top w:val="single" w:color="auto" w:sz="4" w:space="0"/>
              <w:left w:val="single" w:color="000000" w:sz="2" w:space="0"/>
              <w:bottom w:val="single" w:color="auto" w:sz="4"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仿宋" w:hAnsi="仿宋" w:eastAsia="仿宋" w:cs="仿宋"/>
                <w:sz w:val="28"/>
                <w:szCs w:val="28"/>
              </w:rPr>
            </w:pPr>
            <w:r>
              <w:rPr>
                <w:rFonts w:hint="eastAsia" w:ascii="仿宋" w:hAnsi="仿宋" w:eastAsia="仿宋" w:cs="仿宋"/>
                <w:sz w:val="28"/>
                <w:szCs w:val="28"/>
                <w:lang w:eastAsia="zh-CN"/>
              </w:rPr>
              <w:t>保留</w:t>
            </w:r>
          </w:p>
        </w:tc>
        <w:tc>
          <w:tcPr>
            <w:tcW w:w="2174" w:type="dxa"/>
            <w:tcBorders>
              <w:top w:val="single" w:color="auto" w:sz="4" w:space="0"/>
              <w:left w:val="single" w:color="000000" w:sz="2" w:space="0"/>
              <w:bottom w:val="single" w:color="auto" w:sz="4" w:space="0"/>
              <w:right w:val="single" w:color="000000" w:sz="2" w:space="0"/>
            </w:tcBorders>
            <w:vAlign w:val="center"/>
          </w:tcPr>
          <w:p>
            <w:pPr>
              <w:pStyle w:val="3"/>
              <w:widowControl/>
              <w:spacing w:before="0" w:beforeAutospacing="0" w:after="0" w:afterAutospacing="0" w:line="360" w:lineRule="exact"/>
              <w:jc w:val="center"/>
              <w:rPr>
                <w:rFonts w:ascii="仿宋" w:hAnsi="仿宋" w:eastAsia="仿宋" w:cs="仿宋"/>
                <w:sz w:val="28"/>
                <w:szCs w:val="28"/>
              </w:rPr>
            </w:pPr>
            <w:r>
              <w:rPr>
                <w:rFonts w:hint="eastAsia" w:ascii="仿宋" w:hAnsi="仿宋" w:eastAsia="仿宋" w:cs="仿宋"/>
                <w:sz w:val="28"/>
                <w:szCs w:val="28"/>
                <w:lang w:val="en-US" w:eastAsia="zh-CN"/>
              </w:rPr>
              <w:t>否</w:t>
            </w:r>
          </w:p>
        </w:tc>
      </w:tr>
      <w:tr>
        <w:tblPrEx>
          <w:tblCellMar>
            <w:top w:w="15" w:type="dxa"/>
            <w:left w:w="15" w:type="dxa"/>
            <w:bottom w:w="15" w:type="dxa"/>
            <w:right w:w="15" w:type="dxa"/>
          </w:tblCellMar>
        </w:tblPrEx>
        <w:trPr>
          <w:trHeight w:val="552" w:hRule="atLeast"/>
        </w:trPr>
        <w:tc>
          <w:tcPr>
            <w:tcW w:w="528"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widowControl/>
              <w:spacing w:line="360" w:lineRule="exact"/>
              <w:jc w:val="center"/>
              <w:rPr>
                <w:rFonts w:ascii="仿宋" w:hAnsi="仿宋" w:eastAsia="仿宋" w:cs="仿宋"/>
                <w:sz w:val="28"/>
                <w:szCs w:val="28"/>
              </w:rPr>
            </w:pPr>
          </w:p>
        </w:tc>
        <w:tc>
          <w:tcPr>
            <w:tcW w:w="1913" w:type="dxa"/>
            <w:tcBorders>
              <w:top w:val="single" w:color="auto" w:sz="4" w:space="0"/>
              <w:left w:val="single" w:color="000000" w:sz="2" w:space="0"/>
              <w:bottom w:val="single" w:color="auto" w:sz="4" w:space="0"/>
              <w:right w:val="single" w:color="auto" w:sz="4" w:space="0"/>
            </w:tcBorders>
            <w:tcMar>
              <w:top w:w="0" w:type="dxa"/>
              <w:left w:w="0" w:type="dxa"/>
              <w:bottom w:w="0" w:type="dxa"/>
              <w:right w:w="0" w:type="dxa"/>
            </w:tcMar>
            <w:vAlign w:val="center"/>
          </w:tcPr>
          <w:p>
            <w:pPr>
              <w:widowControl/>
              <w:spacing w:line="360" w:lineRule="exact"/>
              <w:jc w:val="center"/>
              <w:rPr>
                <w:rFonts w:ascii="仿宋_GB2312" w:hAnsi="仿宋_GB2312" w:eastAsia="仿宋_GB2312"/>
                <w:sz w:val="28"/>
                <w:szCs w:val="28"/>
              </w:rPr>
            </w:pPr>
            <w:r>
              <w:rPr>
                <w:rFonts w:hint="eastAsia" w:ascii="仿宋_GB2312" w:hAnsi="仿宋_GB2312" w:eastAsia="仿宋_GB2312"/>
                <w:sz w:val="28"/>
                <w:szCs w:val="28"/>
              </w:rPr>
              <w:t>道路客运经营者、货运经营者设立分公司备案</w:t>
            </w:r>
          </w:p>
        </w:tc>
        <w:tc>
          <w:tcPr>
            <w:tcW w:w="1416" w:type="dxa"/>
            <w:tcBorders>
              <w:top w:val="single" w:color="000000" w:sz="2" w:space="0"/>
              <w:left w:val="single" w:color="auto" w:sz="4" w:space="0"/>
              <w:bottom w:val="single" w:color="000000" w:sz="2" w:space="0"/>
              <w:right w:val="single" w:color="auto" w:sz="4" w:space="0"/>
            </w:tcBorders>
            <w:tcMar>
              <w:top w:w="0" w:type="dxa"/>
              <w:left w:w="0" w:type="dxa"/>
              <w:bottom w:w="0" w:type="dxa"/>
              <w:right w:w="0" w:type="dxa"/>
            </w:tcMar>
            <w:vAlign w:val="center"/>
          </w:tcPr>
          <w:p>
            <w:pPr>
              <w:widowControl/>
              <w:spacing w:line="360" w:lineRule="exact"/>
              <w:ind w:firstLine="280" w:firstLineChars="100"/>
              <w:jc w:val="center"/>
              <w:rPr>
                <w:rFonts w:ascii="仿宋_GB2312" w:hAnsi="仿宋_GB2312" w:eastAsia="仿宋_GB2312"/>
                <w:sz w:val="28"/>
                <w:szCs w:val="28"/>
              </w:rPr>
            </w:pPr>
            <w:r>
              <w:rPr>
                <w:rFonts w:hint="eastAsia" w:ascii="仿宋_GB2312" w:hAnsi="仿宋_GB2312" w:eastAsia="仿宋_GB2312"/>
                <w:sz w:val="28"/>
                <w:szCs w:val="28"/>
              </w:rPr>
              <w:t>其他行政权力</w:t>
            </w:r>
          </w:p>
        </w:tc>
        <w:tc>
          <w:tcPr>
            <w:tcW w:w="2261" w:type="dxa"/>
            <w:tcBorders>
              <w:top w:val="single" w:color="000000" w:sz="2" w:space="0"/>
              <w:left w:val="single" w:color="auto" w:sz="4" w:space="0"/>
              <w:bottom w:val="single" w:color="000000" w:sz="2" w:space="0"/>
              <w:right w:val="single" w:color="000000" w:sz="2" w:space="0"/>
            </w:tcBorders>
            <w:tcMar>
              <w:top w:w="0" w:type="dxa"/>
              <w:left w:w="0" w:type="dxa"/>
              <w:bottom w:w="0" w:type="dxa"/>
              <w:right w:w="0" w:type="dxa"/>
            </w:tcMar>
            <w:vAlign w:val="center"/>
          </w:tcPr>
          <w:p>
            <w:pPr>
              <w:widowControl/>
              <w:spacing w:line="280" w:lineRule="exact"/>
              <w:rPr>
                <w:rFonts w:ascii="仿宋_GB2312" w:hAnsi="仿宋_GB2312" w:eastAsia="仿宋_GB2312"/>
                <w:w w:val="80"/>
                <w:sz w:val="24"/>
                <w:szCs w:val="24"/>
              </w:rPr>
            </w:pPr>
            <w:r>
              <w:rPr>
                <w:rFonts w:hint="eastAsia" w:ascii="仿宋_GB2312" w:hAnsi="仿宋_GB2312" w:eastAsia="仿宋_GB2312"/>
                <w:w w:val="70"/>
                <w:sz w:val="24"/>
                <w:szCs w:val="24"/>
              </w:rPr>
              <w:t>道路运输企业设立分公司备案登记表，总公司《企业法人营业执照》，总公司《道路运输经营许可证》正本，总公司《道路运输经营许可证》副本，总公司法定代表人身份证明，分公司《企业法人营业执照》，分公司负责人身份证明，备案登记经办人身份证明，备案登记经办人受权委托书</w:t>
            </w:r>
          </w:p>
        </w:tc>
        <w:tc>
          <w:tcPr>
            <w:tcW w:w="5736"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widowControl/>
              <w:spacing w:line="360" w:lineRule="exact"/>
              <w:rPr>
                <w:rFonts w:ascii="仿宋_GB2312" w:hAnsi="仿宋_GB2312" w:eastAsia="仿宋_GB2312"/>
                <w:sz w:val="24"/>
                <w:szCs w:val="24"/>
              </w:rPr>
            </w:pPr>
            <w:r>
              <w:rPr>
                <w:rFonts w:ascii="仿宋_GB2312" w:hAnsi="仿宋_GB2312" w:eastAsia="仿宋_GB2312"/>
                <w:sz w:val="24"/>
                <w:szCs w:val="24"/>
              </w:rPr>
              <w:t>1.</w:t>
            </w:r>
            <w:r>
              <w:rPr>
                <w:rFonts w:hint="eastAsia" w:ascii="仿宋_GB2312" w:hAnsi="仿宋_GB2312" w:eastAsia="仿宋_GB2312"/>
                <w:sz w:val="24"/>
                <w:szCs w:val="24"/>
              </w:rPr>
              <w:t>《道路旅客运输及客运站管理规定》第二十五条：道路客运经营者设立子公司的，应当按规定向设立地道路运输管理机构申请经营许可；设立分公司的，应当向设立地道路运输管理机构报备。</w:t>
            </w:r>
            <w:r>
              <w:rPr>
                <w:rFonts w:ascii="仿宋_GB2312" w:hAnsi="仿宋_GB2312" w:eastAsia="仿宋_GB2312"/>
                <w:sz w:val="24"/>
                <w:szCs w:val="24"/>
              </w:rPr>
              <w:br w:type="textWrapping"/>
            </w:r>
            <w:r>
              <w:rPr>
                <w:rFonts w:ascii="仿宋_GB2312" w:hAnsi="仿宋_GB2312" w:eastAsia="仿宋_GB2312"/>
                <w:sz w:val="24"/>
                <w:szCs w:val="24"/>
              </w:rPr>
              <w:t>2.</w:t>
            </w:r>
            <w:r>
              <w:rPr>
                <w:rFonts w:hint="eastAsia" w:ascii="仿宋_GB2312" w:hAnsi="仿宋_GB2312" w:eastAsia="仿宋_GB2312"/>
                <w:sz w:val="24"/>
                <w:szCs w:val="24"/>
              </w:rPr>
              <w:t>《道路货物运输及站场管理规定》第十四条：道路货物运输经营者设立子公司的，应当向设立地的道路运输管理机构申请经营许可；设立分公司的，应当向设立地的道路运输管理机构报备。</w:t>
            </w:r>
          </w:p>
        </w:tc>
        <w:tc>
          <w:tcPr>
            <w:tcW w:w="105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仿宋" w:hAnsi="仿宋" w:eastAsia="仿宋" w:cs="仿宋"/>
                <w:sz w:val="28"/>
                <w:szCs w:val="28"/>
              </w:rPr>
            </w:pPr>
          </w:p>
        </w:tc>
        <w:tc>
          <w:tcPr>
            <w:tcW w:w="1053" w:type="dxa"/>
            <w:tcBorders>
              <w:top w:val="single" w:color="auto" w:sz="4" w:space="0"/>
              <w:left w:val="single" w:color="000000" w:sz="2" w:space="0"/>
              <w:bottom w:val="single" w:color="auto" w:sz="4"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仿宋" w:hAnsi="仿宋" w:eastAsia="仿宋" w:cs="仿宋"/>
                <w:sz w:val="28"/>
                <w:szCs w:val="28"/>
              </w:rPr>
            </w:pPr>
            <w:r>
              <w:rPr>
                <w:rFonts w:hint="eastAsia" w:ascii="仿宋" w:hAnsi="仿宋" w:eastAsia="仿宋" w:cs="仿宋"/>
                <w:sz w:val="28"/>
                <w:szCs w:val="28"/>
                <w:lang w:eastAsia="zh-CN"/>
              </w:rPr>
              <w:t>保留</w:t>
            </w:r>
          </w:p>
        </w:tc>
        <w:tc>
          <w:tcPr>
            <w:tcW w:w="2174" w:type="dxa"/>
            <w:tcBorders>
              <w:top w:val="single" w:color="auto" w:sz="4" w:space="0"/>
              <w:left w:val="single" w:color="000000" w:sz="2" w:space="0"/>
              <w:bottom w:val="single" w:color="auto" w:sz="4" w:space="0"/>
              <w:right w:val="single" w:color="000000" w:sz="2" w:space="0"/>
            </w:tcBorders>
            <w:vAlign w:val="center"/>
          </w:tcPr>
          <w:p>
            <w:pPr>
              <w:pStyle w:val="3"/>
              <w:widowControl/>
              <w:spacing w:before="0" w:beforeAutospacing="0" w:after="0" w:afterAutospacing="0" w:line="360" w:lineRule="exact"/>
              <w:jc w:val="center"/>
              <w:rPr>
                <w:rFonts w:ascii="仿宋" w:hAnsi="仿宋" w:eastAsia="仿宋" w:cs="仿宋"/>
                <w:sz w:val="28"/>
                <w:szCs w:val="28"/>
              </w:rPr>
            </w:pPr>
            <w:r>
              <w:rPr>
                <w:rFonts w:hint="eastAsia" w:ascii="仿宋" w:hAnsi="仿宋" w:eastAsia="仿宋" w:cs="仿宋"/>
                <w:sz w:val="28"/>
                <w:szCs w:val="28"/>
                <w:lang w:val="en-US" w:eastAsia="zh-CN"/>
              </w:rPr>
              <w:t>否</w:t>
            </w:r>
          </w:p>
        </w:tc>
      </w:tr>
      <w:tr>
        <w:tblPrEx>
          <w:tblCellMar>
            <w:top w:w="15" w:type="dxa"/>
            <w:left w:w="15" w:type="dxa"/>
            <w:bottom w:w="15" w:type="dxa"/>
            <w:right w:w="15" w:type="dxa"/>
          </w:tblCellMar>
        </w:tblPrEx>
        <w:trPr>
          <w:trHeight w:val="552" w:hRule="atLeast"/>
        </w:trPr>
        <w:tc>
          <w:tcPr>
            <w:tcW w:w="528"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widowControl/>
              <w:spacing w:line="360" w:lineRule="exact"/>
              <w:jc w:val="center"/>
              <w:rPr>
                <w:rFonts w:ascii="仿宋" w:hAnsi="仿宋" w:eastAsia="仿宋" w:cs="仿宋"/>
                <w:sz w:val="28"/>
                <w:szCs w:val="28"/>
              </w:rPr>
            </w:pPr>
          </w:p>
        </w:tc>
        <w:tc>
          <w:tcPr>
            <w:tcW w:w="1913" w:type="dxa"/>
            <w:tcBorders>
              <w:top w:val="single" w:color="auto" w:sz="4" w:space="0"/>
              <w:left w:val="single" w:color="000000" w:sz="2" w:space="0"/>
              <w:bottom w:val="single" w:color="auto" w:sz="4" w:space="0"/>
              <w:right w:val="single" w:color="auto" w:sz="4" w:space="0"/>
            </w:tcBorders>
            <w:tcMar>
              <w:top w:w="0" w:type="dxa"/>
              <w:left w:w="0" w:type="dxa"/>
              <w:bottom w:w="0" w:type="dxa"/>
              <w:right w:w="0" w:type="dxa"/>
            </w:tcMar>
            <w:vAlign w:val="center"/>
          </w:tcPr>
          <w:p>
            <w:pPr>
              <w:widowControl/>
              <w:spacing w:line="360" w:lineRule="exact"/>
              <w:jc w:val="center"/>
              <w:rPr>
                <w:rFonts w:ascii="仿宋_GB2312" w:hAnsi="仿宋_GB2312" w:eastAsia="仿宋_GB2312"/>
                <w:sz w:val="28"/>
                <w:szCs w:val="28"/>
              </w:rPr>
            </w:pPr>
            <w:r>
              <w:rPr>
                <w:rFonts w:hint="eastAsia" w:ascii="仿宋_GB2312" w:hAnsi="仿宋_GB2312" w:eastAsia="仿宋_GB2312"/>
                <w:sz w:val="28"/>
                <w:szCs w:val="28"/>
              </w:rPr>
              <w:t>客车客运标志牌遗失、毁损补（换）发</w:t>
            </w:r>
          </w:p>
        </w:tc>
        <w:tc>
          <w:tcPr>
            <w:tcW w:w="1416" w:type="dxa"/>
            <w:tcBorders>
              <w:top w:val="single" w:color="000000" w:sz="2" w:space="0"/>
              <w:left w:val="single" w:color="auto" w:sz="4" w:space="0"/>
              <w:bottom w:val="single" w:color="000000" w:sz="2" w:space="0"/>
              <w:right w:val="single" w:color="auto" w:sz="4" w:space="0"/>
            </w:tcBorders>
            <w:tcMar>
              <w:top w:w="0" w:type="dxa"/>
              <w:left w:w="0" w:type="dxa"/>
              <w:bottom w:w="0" w:type="dxa"/>
              <w:right w:w="0" w:type="dxa"/>
            </w:tcMar>
            <w:vAlign w:val="center"/>
          </w:tcPr>
          <w:p>
            <w:pPr>
              <w:widowControl/>
              <w:spacing w:line="360" w:lineRule="exact"/>
              <w:ind w:firstLine="280" w:firstLineChars="100"/>
              <w:jc w:val="center"/>
              <w:rPr>
                <w:rFonts w:ascii="仿宋_GB2312" w:hAnsi="仿宋_GB2312" w:eastAsia="仿宋_GB2312"/>
                <w:sz w:val="28"/>
                <w:szCs w:val="28"/>
              </w:rPr>
            </w:pPr>
            <w:r>
              <w:rPr>
                <w:rFonts w:hint="eastAsia" w:ascii="仿宋_GB2312" w:hAnsi="仿宋_GB2312" w:eastAsia="仿宋_GB2312"/>
                <w:sz w:val="28"/>
                <w:szCs w:val="28"/>
              </w:rPr>
              <w:t>公共服务</w:t>
            </w:r>
          </w:p>
        </w:tc>
        <w:tc>
          <w:tcPr>
            <w:tcW w:w="2261" w:type="dxa"/>
            <w:tcBorders>
              <w:top w:val="single" w:color="000000" w:sz="2" w:space="0"/>
              <w:left w:val="single" w:color="auto" w:sz="4" w:space="0"/>
              <w:bottom w:val="single" w:color="000000" w:sz="2" w:space="0"/>
              <w:right w:val="single" w:color="000000" w:sz="2" w:space="0"/>
            </w:tcBorders>
            <w:tcMar>
              <w:top w:w="0" w:type="dxa"/>
              <w:left w:w="0" w:type="dxa"/>
              <w:bottom w:w="0" w:type="dxa"/>
              <w:right w:w="0" w:type="dxa"/>
            </w:tcMar>
            <w:vAlign w:val="center"/>
          </w:tcPr>
          <w:p>
            <w:pPr>
              <w:widowControl/>
              <w:spacing w:line="360" w:lineRule="exact"/>
              <w:rPr>
                <w:rFonts w:ascii="仿宋_GB2312" w:hAnsi="仿宋_GB2312" w:eastAsia="仿宋_GB2312"/>
                <w:sz w:val="28"/>
                <w:szCs w:val="28"/>
              </w:rPr>
            </w:pPr>
            <w:r>
              <w:rPr>
                <w:rFonts w:hint="eastAsia" w:ascii="仿宋_GB2312" w:hAnsi="仿宋_GB2312" w:eastAsia="仿宋_GB2312"/>
                <w:sz w:val="28"/>
                <w:szCs w:val="28"/>
              </w:rPr>
              <w:t>客运班线标志牌遗失换发申领表</w:t>
            </w:r>
          </w:p>
        </w:tc>
        <w:tc>
          <w:tcPr>
            <w:tcW w:w="5736"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widowControl/>
              <w:spacing w:line="360" w:lineRule="exact"/>
              <w:rPr>
                <w:rFonts w:ascii="仿宋_GB2312" w:hAnsi="仿宋_GB2312" w:eastAsia="仿宋_GB2312"/>
                <w:sz w:val="21"/>
                <w:szCs w:val="21"/>
              </w:rPr>
            </w:pPr>
            <w:r>
              <w:rPr>
                <w:rFonts w:hint="eastAsia" w:ascii="仿宋_GB2312" w:hAnsi="仿宋_GB2312" w:eastAsia="仿宋_GB2312"/>
                <w:sz w:val="21"/>
                <w:szCs w:val="21"/>
              </w:rPr>
              <w:t>《交通运输部道路运输管理工作规范》：道路客运班线经营许可证明和班车客运标志牌遗失的，原许可机构应根据申请人提交的申请表，在是以上的报刊刊登遗失启事，经核实后，予以补办</w:t>
            </w:r>
          </w:p>
        </w:tc>
        <w:tc>
          <w:tcPr>
            <w:tcW w:w="105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仿宋" w:hAnsi="仿宋" w:eastAsia="仿宋" w:cs="仿宋"/>
                <w:sz w:val="28"/>
                <w:szCs w:val="28"/>
              </w:rPr>
            </w:pPr>
          </w:p>
        </w:tc>
        <w:tc>
          <w:tcPr>
            <w:tcW w:w="1053" w:type="dxa"/>
            <w:tcBorders>
              <w:top w:val="single" w:color="auto" w:sz="4" w:space="0"/>
              <w:left w:val="single" w:color="000000" w:sz="2" w:space="0"/>
              <w:bottom w:val="single" w:color="auto" w:sz="4"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仿宋" w:hAnsi="仿宋" w:eastAsia="仿宋" w:cs="仿宋"/>
                <w:sz w:val="28"/>
                <w:szCs w:val="28"/>
              </w:rPr>
            </w:pPr>
            <w:r>
              <w:rPr>
                <w:rFonts w:hint="eastAsia" w:ascii="仿宋" w:hAnsi="仿宋" w:eastAsia="仿宋" w:cs="仿宋"/>
                <w:sz w:val="28"/>
                <w:szCs w:val="28"/>
                <w:lang w:eastAsia="zh-CN"/>
              </w:rPr>
              <w:t>保留</w:t>
            </w:r>
          </w:p>
        </w:tc>
        <w:tc>
          <w:tcPr>
            <w:tcW w:w="2174" w:type="dxa"/>
            <w:tcBorders>
              <w:top w:val="single" w:color="auto" w:sz="4" w:space="0"/>
              <w:left w:val="single" w:color="000000" w:sz="2" w:space="0"/>
              <w:bottom w:val="single" w:color="auto" w:sz="4" w:space="0"/>
              <w:right w:val="single" w:color="000000" w:sz="2" w:space="0"/>
            </w:tcBorders>
            <w:vAlign w:val="center"/>
          </w:tcPr>
          <w:p>
            <w:pPr>
              <w:pStyle w:val="3"/>
              <w:widowControl/>
              <w:spacing w:before="0" w:beforeAutospacing="0" w:after="0" w:afterAutospacing="0" w:line="360" w:lineRule="exact"/>
              <w:jc w:val="center"/>
              <w:rPr>
                <w:rFonts w:ascii="仿宋" w:hAnsi="仿宋" w:eastAsia="仿宋" w:cs="仿宋"/>
                <w:sz w:val="28"/>
                <w:szCs w:val="28"/>
              </w:rPr>
            </w:pPr>
            <w:r>
              <w:rPr>
                <w:rFonts w:hint="eastAsia" w:ascii="仿宋" w:hAnsi="仿宋" w:eastAsia="仿宋" w:cs="仿宋"/>
                <w:sz w:val="28"/>
                <w:szCs w:val="28"/>
                <w:lang w:val="en-US" w:eastAsia="zh-CN"/>
              </w:rPr>
              <w:t>否</w:t>
            </w:r>
          </w:p>
        </w:tc>
      </w:tr>
      <w:tr>
        <w:tblPrEx>
          <w:tblCellMar>
            <w:top w:w="15" w:type="dxa"/>
            <w:left w:w="15" w:type="dxa"/>
            <w:bottom w:w="15" w:type="dxa"/>
            <w:right w:w="15" w:type="dxa"/>
          </w:tblCellMar>
        </w:tblPrEx>
        <w:trPr>
          <w:trHeight w:val="552" w:hRule="atLeast"/>
        </w:trPr>
        <w:tc>
          <w:tcPr>
            <w:tcW w:w="528"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widowControl/>
              <w:spacing w:line="360" w:lineRule="exact"/>
              <w:jc w:val="center"/>
              <w:rPr>
                <w:rFonts w:ascii="仿宋" w:hAnsi="仿宋" w:eastAsia="仿宋" w:cs="仿宋"/>
                <w:sz w:val="28"/>
                <w:szCs w:val="28"/>
              </w:rPr>
            </w:pPr>
          </w:p>
        </w:tc>
        <w:tc>
          <w:tcPr>
            <w:tcW w:w="1913" w:type="dxa"/>
            <w:tcBorders>
              <w:top w:val="single" w:color="auto" w:sz="4" w:space="0"/>
              <w:left w:val="single" w:color="000000" w:sz="2" w:space="0"/>
              <w:bottom w:val="single" w:color="auto" w:sz="4" w:space="0"/>
              <w:right w:val="single" w:color="auto" w:sz="4" w:space="0"/>
            </w:tcBorders>
            <w:tcMar>
              <w:top w:w="0" w:type="dxa"/>
              <w:left w:w="0" w:type="dxa"/>
              <w:bottom w:w="0" w:type="dxa"/>
              <w:right w:w="0" w:type="dxa"/>
            </w:tcMar>
            <w:vAlign w:val="center"/>
          </w:tcPr>
          <w:p>
            <w:pPr>
              <w:widowControl/>
              <w:spacing w:line="360" w:lineRule="exact"/>
              <w:jc w:val="center"/>
              <w:rPr>
                <w:rFonts w:ascii="仿宋_GB2312" w:hAnsi="仿宋_GB2312" w:eastAsia="仿宋_GB2312"/>
                <w:sz w:val="28"/>
                <w:szCs w:val="28"/>
              </w:rPr>
            </w:pPr>
            <w:r>
              <w:rPr>
                <w:rFonts w:hint="eastAsia" w:ascii="仿宋_GB2312" w:hAnsi="仿宋_GB2312" w:eastAsia="仿宋_GB2312"/>
                <w:sz w:val="28"/>
                <w:szCs w:val="28"/>
              </w:rPr>
              <w:t>县内客运车辆更新</w:t>
            </w:r>
          </w:p>
        </w:tc>
        <w:tc>
          <w:tcPr>
            <w:tcW w:w="1416" w:type="dxa"/>
            <w:tcBorders>
              <w:top w:val="single" w:color="000000" w:sz="2" w:space="0"/>
              <w:left w:val="single" w:color="auto" w:sz="4" w:space="0"/>
              <w:bottom w:val="single" w:color="000000" w:sz="2" w:space="0"/>
              <w:right w:val="single" w:color="auto" w:sz="4" w:space="0"/>
            </w:tcBorders>
            <w:tcMar>
              <w:top w:w="0" w:type="dxa"/>
              <w:left w:w="0" w:type="dxa"/>
              <w:bottom w:w="0" w:type="dxa"/>
              <w:right w:w="0" w:type="dxa"/>
            </w:tcMar>
            <w:vAlign w:val="center"/>
          </w:tcPr>
          <w:p>
            <w:pPr>
              <w:widowControl/>
              <w:spacing w:line="360" w:lineRule="exact"/>
              <w:ind w:firstLine="280" w:firstLineChars="100"/>
              <w:jc w:val="center"/>
              <w:rPr>
                <w:rFonts w:ascii="仿宋_GB2312" w:hAnsi="仿宋_GB2312" w:eastAsia="仿宋_GB2312"/>
                <w:sz w:val="28"/>
                <w:szCs w:val="28"/>
              </w:rPr>
            </w:pPr>
            <w:r>
              <w:rPr>
                <w:rFonts w:hint="eastAsia" w:ascii="仿宋_GB2312" w:hAnsi="仿宋_GB2312" w:eastAsia="仿宋_GB2312"/>
                <w:sz w:val="28"/>
                <w:szCs w:val="28"/>
              </w:rPr>
              <w:t>公共服务</w:t>
            </w:r>
          </w:p>
        </w:tc>
        <w:tc>
          <w:tcPr>
            <w:tcW w:w="2261" w:type="dxa"/>
            <w:tcBorders>
              <w:top w:val="single" w:color="000000" w:sz="2" w:space="0"/>
              <w:left w:val="single" w:color="auto" w:sz="4" w:space="0"/>
              <w:bottom w:val="single" w:color="000000" w:sz="2" w:space="0"/>
              <w:right w:val="single" w:color="000000" w:sz="2" w:space="0"/>
            </w:tcBorders>
            <w:tcMar>
              <w:top w:w="0" w:type="dxa"/>
              <w:left w:w="0" w:type="dxa"/>
              <w:bottom w:w="0" w:type="dxa"/>
              <w:right w:w="0" w:type="dxa"/>
            </w:tcMar>
            <w:vAlign w:val="center"/>
          </w:tcPr>
          <w:p>
            <w:pPr>
              <w:widowControl/>
              <w:spacing w:line="360" w:lineRule="exact"/>
              <w:rPr>
                <w:rFonts w:ascii="仿宋_GB2312" w:hAnsi="仿宋_GB2312" w:eastAsia="仿宋_GB2312"/>
                <w:sz w:val="28"/>
                <w:szCs w:val="28"/>
              </w:rPr>
            </w:pPr>
            <w:r>
              <w:rPr>
                <w:rFonts w:hint="eastAsia" w:ascii="仿宋_GB2312" w:hAnsi="仿宋_GB2312" w:eastAsia="仿宋_GB2312"/>
                <w:sz w:val="28"/>
                <w:szCs w:val="28"/>
              </w:rPr>
              <w:t>道路营运车辆登记表，道路旅客运输业户车辆更新申请表，新购道路客运车辆产权承诺书，综合性能检测报告，驾驶证，机动车行驶证，从业人员资格证，车辆登记证书</w:t>
            </w:r>
          </w:p>
        </w:tc>
        <w:tc>
          <w:tcPr>
            <w:tcW w:w="5736"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widowControl/>
              <w:spacing w:line="360" w:lineRule="exact"/>
              <w:rPr>
                <w:rFonts w:ascii="仿宋_GB2312" w:hAnsi="仿宋_GB2312" w:eastAsia="仿宋_GB2312"/>
                <w:sz w:val="21"/>
                <w:szCs w:val="21"/>
              </w:rPr>
            </w:pPr>
            <w:r>
              <w:rPr>
                <w:rFonts w:hint="eastAsia" w:ascii="仿宋_GB2312" w:hAnsi="仿宋_GB2312" w:eastAsia="仿宋_GB2312"/>
                <w:sz w:val="21"/>
                <w:szCs w:val="21"/>
              </w:rPr>
              <w:t>《道路运输管理工作规范》第六章第二节第三项第一条：</w:t>
            </w:r>
            <w:r>
              <w:rPr>
                <w:rFonts w:ascii="仿宋_GB2312" w:hAnsi="仿宋_GB2312" w:eastAsia="仿宋_GB2312"/>
                <w:sz w:val="21"/>
                <w:szCs w:val="21"/>
              </w:rPr>
              <w:t>1.</w:t>
            </w:r>
            <w:r>
              <w:rPr>
                <w:rFonts w:hint="eastAsia" w:ascii="仿宋_GB2312" w:hAnsi="仿宋_GB2312" w:eastAsia="仿宋_GB2312"/>
                <w:sz w:val="21"/>
                <w:szCs w:val="21"/>
              </w:rPr>
              <w:t>在经营期限内，道路客运班线经营者申请更新、新增客运车辆的，原许可的道路运输管理机构应当根据道路客运经营提交的车辆更新或车辆调换方案等材料，考虑车辆技术状况、座位数量、类型等级等因素，在</w:t>
            </w:r>
            <w:r>
              <w:rPr>
                <w:rFonts w:ascii="仿宋_GB2312" w:hAnsi="仿宋_GB2312" w:eastAsia="仿宋_GB2312"/>
                <w:sz w:val="21"/>
                <w:szCs w:val="21"/>
              </w:rPr>
              <w:t>10</w:t>
            </w:r>
            <w:r>
              <w:rPr>
                <w:rFonts w:hint="eastAsia" w:ascii="仿宋_GB2312" w:hAnsi="仿宋_GB2312" w:eastAsia="仿宋_GB2312"/>
                <w:sz w:val="21"/>
                <w:szCs w:val="21"/>
              </w:rPr>
              <w:t>个工作日内作出准予或不准予的决定。</w:t>
            </w:r>
            <w:r>
              <w:rPr>
                <w:rFonts w:ascii="仿宋_GB2312" w:hAnsi="仿宋_GB2312" w:eastAsia="仿宋_GB2312"/>
                <w:sz w:val="21"/>
                <w:szCs w:val="21"/>
              </w:rPr>
              <w:t>2.</w:t>
            </w:r>
            <w:r>
              <w:rPr>
                <w:rFonts w:hint="eastAsia" w:ascii="仿宋_GB2312" w:hAnsi="仿宋_GB2312" w:eastAsia="仿宋_GB2312"/>
                <w:sz w:val="21"/>
                <w:szCs w:val="21"/>
              </w:rPr>
              <w:t>更新的客运车辆与原车辆技术类型、等级相当，或者比原车辆技术类型、等级更高的，道路运输管理机构应当准予更新，并配发《道路运输证》</w:t>
            </w:r>
          </w:p>
        </w:tc>
        <w:tc>
          <w:tcPr>
            <w:tcW w:w="105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仿宋" w:hAnsi="仿宋" w:eastAsia="仿宋" w:cs="仿宋"/>
                <w:sz w:val="28"/>
                <w:szCs w:val="28"/>
              </w:rPr>
            </w:pPr>
          </w:p>
        </w:tc>
        <w:tc>
          <w:tcPr>
            <w:tcW w:w="1053" w:type="dxa"/>
            <w:tcBorders>
              <w:top w:val="single" w:color="auto" w:sz="4" w:space="0"/>
              <w:left w:val="single" w:color="000000" w:sz="2" w:space="0"/>
              <w:bottom w:val="single" w:color="auto" w:sz="4"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仿宋" w:hAnsi="仿宋" w:eastAsia="仿宋" w:cs="仿宋"/>
                <w:sz w:val="28"/>
                <w:szCs w:val="28"/>
              </w:rPr>
            </w:pPr>
            <w:r>
              <w:rPr>
                <w:rFonts w:hint="eastAsia" w:ascii="仿宋" w:hAnsi="仿宋" w:eastAsia="仿宋" w:cs="仿宋"/>
                <w:sz w:val="28"/>
                <w:szCs w:val="28"/>
                <w:lang w:eastAsia="zh-CN"/>
              </w:rPr>
              <w:t>保留</w:t>
            </w:r>
          </w:p>
        </w:tc>
        <w:tc>
          <w:tcPr>
            <w:tcW w:w="2174" w:type="dxa"/>
            <w:tcBorders>
              <w:top w:val="single" w:color="auto" w:sz="4" w:space="0"/>
              <w:left w:val="single" w:color="000000" w:sz="2" w:space="0"/>
              <w:bottom w:val="single" w:color="auto" w:sz="4" w:space="0"/>
              <w:right w:val="single" w:color="000000" w:sz="2" w:space="0"/>
            </w:tcBorders>
            <w:vAlign w:val="center"/>
          </w:tcPr>
          <w:p>
            <w:pPr>
              <w:pStyle w:val="3"/>
              <w:widowControl/>
              <w:spacing w:before="0" w:beforeAutospacing="0" w:after="0" w:afterAutospacing="0" w:line="360" w:lineRule="exact"/>
              <w:jc w:val="center"/>
              <w:rPr>
                <w:rFonts w:ascii="仿宋" w:hAnsi="仿宋" w:eastAsia="仿宋" w:cs="仿宋"/>
                <w:sz w:val="28"/>
                <w:szCs w:val="28"/>
              </w:rPr>
            </w:pPr>
            <w:r>
              <w:rPr>
                <w:rFonts w:hint="eastAsia" w:ascii="仿宋" w:hAnsi="仿宋" w:eastAsia="仿宋" w:cs="仿宋"/>
                <w:sz w:val="28"/>
                <w:szCs w:val="28"/>
                <w:lang w:val="en-US" w:eastAsia="zh-CN"/>
              </w:rPr>
              <w:t>否</w:t>
            </w:r>
          </w:p>
        </w:tc>
      </w:tr>
      <w:tr>
        <w:tblPrEx>
          <w:tblCellMar>
            <w:top w:w="15" w:type="dxa"/>
            <w:left w:w="15" w:type="dxa"/>
            <w:bottom w:w="15" w:type="dxa"/>
            <w:right w:w="15" w:type="dxa"/>
          </w:tblCellMar>
        </w:tblPrEx>
        <w:trPr>
          <w:trHeight w:val="552" w:hRule="atLeast"/>
        </w:trPr>
        <w:tc>
          <w:tcPr>
            <w:tcW w:w="528"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widowControl/>
              <w:spacing w:line="360" w:lineRule="exact"/>
              <w:jc w:val="center"/>
              <w:rPr>
                <w:rFonts w:ascii="仿宋" w:hAnsi="仿宋" w:eastAsia="仿宋" w:cs="仿宋"/>
                <w:sz w:val="28"/>
                <w:szCs w:val="28"/>
              </w:rPr>
            </w:pPr>
          </w:p>
        </w:tc>
        <w:tc>
          <w:tcPr>
            <w:tcW w:w="1913" w:type="dxa"/>
            <w:tcBorders>
              <w:top w:val="single" w:color="auto" w:sz="4" w:space="0"/>
              <w:left w:val="single" w:color="000000" w:sz="2" w:space="0"/>
              <w:bottom w:val="single" w:color="auto" w:sz="4" w:space="0"/>
              <w:right w:val="single" w:color="auto" w:sz="4" w:space="0"/>
            </w:tcBorders>
            <w:tcMar>
              <w:top w:w="0" w:type="dxa"/>
              <w:left w:w="0" w:type="dxa"/>
              <w:bottom w:w="0" w:type="dxa"/>
              <w:right w:w="0" w:type="dxa"/>
            </w:tcMar>
            <w:vAlign w:val="center"/>
          </w:tcPr>
          <w:p>
            <w:pPr>
              <w:widowControl/>
              <w:spacing w:line="360" w:lineRule="exact"/>
              <w:jc w:val="center"/>
              <w:rPr>
                <w:rFonts w:ascii="仿宋_GB2312" w:hAnsi="仿宋_GB2312" w:eastAsia="仿宋_GB2312"/>
                <w:sz w:val="28"/>
                <w:szCs w:val="28"/>
              </w:rPr>
            </w:pPr>
            <w:r>
              <w:rPr>
                <w:rFonts w:hint="eastAsia" w:ascii="仿宋_GB2312" w:hAnsi="仿宋_GB2312" w:eastAsia="仿宋_GB2312"/>
                <w:sz w:val="28"/>
                <w:szCs w:val="28"/>
              </w:rPr>
              <w:t>客运</w:t>
            </w:r>
            <w:r>
              <w:rPr>
                <w:rFonts w:ascii="仿宋_GB2312" w:hAnsi="仿宋_GB2312" w:eastAsia="仿宋_GB2312"/>
                <w:sz w:val="28"/>
                <w:szCs w:val="28"/>
              </w:rPr>
              <w:t>(</w:t>
            </w:r>
            <w:r>
              <w:rPr>
                <w:rFonts w:hint="eastAsia" w:ascii="仿宋_GB2312" w:hAnsi="仿宋_GB2312" w:eastAsia="仿宋_GB2312"/>
                <w:sz w:val="28"/>
                <w:szCs w:val="28"/>
              </w:rPr>
              <w:t>班线、旅游</w:t>
            </w:r>
            <w:r>
              <w:rPr>
                <w:rFonts w:ascii="仿宋_GB2312" w:hAnsi="仿宋_GB2312" w:eastAsia="仿宋_GB2312"/>
                <w:sz w:val="28"/>
                <w:szCs w:val="28"/>
              </w:rPr>
              <w:t>)</w:t>
            </w:r>
            <w:r>
              <w:rPr>
                <w:rFonts w:hint="eastAsia" w:ascii="仿宋_GB2312" w:hAnsi="仿宋_GB2312" w:eastAsia="仿宋_GB2312"/>
                <w:sz w:val="28"/>
                <w:szCs w:val="28"/>
              </w:rPr>
              <w:t>车辆异动手续办理</w:t>
            </w:r>
          </w:p>
        </w:tc>
        <w:tc>
          <w:tcPr>
            <w:tcW w:w="1416" w:type="dxa"/>
            <w:tcBorders>
              <w:top w:val="single" w:color="000000" w:sz="2" w:space="0"/>
              <w:left w:val="single" w:color="auto" w:sz="4" w:space="0"/>
              <w:bottom w:val="single" w:color="000000" w:sz="2" w:space="0"/>
              <w:right w:val="single" w:color="auto" w:sz="4" w:space="0"/>
            </w:tcBorders>
            <w:tcMar>
              <w:top w:w="0" w:type="dxa"/>
              <w:left w:w="0" w:type="dxa"/>
              <w:bottom w:w="0" w:type="dxa"/>
              <w:right w:w="0" w:type="dxa"/>
            </w:tcMar>
            <w:vAlign w:val="center"/>
          </w:tcPr>
          <w:p>
            <w:pPr>
              <w:widowControl/>
              <w:spacing w:line="360" w:lineRule="exact"/>
              <w:ind w:firstLine="280" w:firstLineChars="100"/>
              <w:jc w:val="center"/>
              <w:rPr>
                <w:rFonts w:ascii="仿宋_GB2312" w:hAnsi="仿宋_GB2312" w:eastAsia="仿宋_GB2312"/>
                <w:sz w:val="28"/>
                <w:szCs w:val="28"/>
              </w:rPr>
            </w:pPr>
            <w:r>
              <w:rPr>
                <w:rFonts w:hint="eastAsia" w:ascii="仿宋_GB2312" w:hAnsi="仿宋_GB2312" w:eastAsia="仿宋_GB2312"/>
                <w:sz w:val="28"/>
                <w:szCs w:val="28"/>
              </w:rPr>
              <w:t>公共服务</w:t>
            </w:r>
          </w:p>
        </w:tc>
        <w:tc>
          <w:tcPr>
            <w:tcW w:w="2261" w:type="dxa"/>
            <w:tcBorders>
              <w:top w:val="single" w:color="000000" w:sz="2" w:space="0"/>
              <w:left w:val="single" w:color="auto" w:sz="4" w:space="0"/>
              <w:bottom w:val="single" w:color="000000" w:sz="2" w:space="0"/>
              <w:right w:val="single" w:color="000000" w:sz="2" w:space="0"/>
            </w:tcBorders>
            <w:tcMar>
              <w:top w:w="0" w:type="dxa"/>
              <w:left w:w="0" w:type="dxa"/>
              <w:bottom w:w="0" w:type="dxa"/>
              <w:right w:w="0" w:type="dxa"/>
            </w:tcMar>
            <w:vAlign w:val="center"/>
          </w:tcPr>
          <w:p>
            <w:pPr>
              <w:widowControl/>
              <w:spacing w:line="360" w:lineRule="exact"/>
              <w:rPr>
                <w:rFonts w:ascii="仿宋_GB2312" w:hAnsi="仿宋_GB2312" w:eastAsia="仿宋_GB2312"/>
                <w:sz w:val="28"/>
                <w:szCs w:val="28"/>
              </w:rPr>
            </w:pPr>
            <w:r>
              <w:rPr>
                <w:rFonts w:hint="eastAsia" w:ascii="仿宋_GB2312" w:hAnsi="仿宋_GB2312" w:eastAsia="仿宋_GB2312"/>
                <w:sz w:val="28"/>
                <w:szCs w:val="28"/>
              </w:rPr>
              <w:t>申请报告，道路运输证，机动车登记证书</w:t>
            </w:r>
          </w:p>
        </w:tc>
        <w:tc>
          <w:tcPr>
            <w:tcW w:w="5736"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widowControl/>
              <w:spacing w:line="360" w:lineRule="exact"/>
              <w:rPr>
                <w:rFonts w:ascii="仿宋_GB2312" w:hAnsi="仿宋_GB2312" w:eastAsia="仿宋_GB2312"/>
                <w:sz w:val="21"/>
                <w:szCs w:val="21"/>
              </w:rPr>
            </w:pPr>
            <w:r>
              <w:rPr>
                <w:rFonts w:hint="eastAsia" w:ascii="仿宋_GB2312" w:hAnsi="仿宋_GB2312" w:eastAsia="仿宋_GB2312"/>
                <w:sz w:val="21"/>
                <w:szCs w:val="21"/>
              </w:rPr>
              <w:t>《道路旅客运输及客运站管理规定》第四十二条：客运车辆办理过户变更手续时，客运经营者应当将车辆技术档案完整移交。县级以上道路运输管理机构应当对经营者车辆技术档案的建立情况实施监督管理。第四十三条</w:t>
            </w:r>
            <w:r>
              <w:rPr>
                <w:rFonts w:ascii="仿宋_GB2312" w:hAnsi="仿宋_GB2312" w:eastAsia="仿宋_GB2312"/>
                <w:sz w:val="21"/>
                <w:szCs w:val="21"/>
              </w:rPr>
              <w:t xml:space="preserve"> </w:t>
            </w:r>
            <w:r>
              <w:rPr>
                <w:rFonts w:hint="eastAsia" w:ascii="仿宋_GB2312" w:hAnsi="仿宋_GB2312" w:eastAsia="仿宋_GB2312"/>
                <w:sz w:val="21"/>
                <w:szCs w:val="21"/>
              </w:rPr>
              <w:t>客运经营者对达到国家规定的报废标准或者经检测不符合国家强制性标准要求的客运车辆，应当及时交回《道路运输证》，不得继续从事客运经营</w:t>
            </w:r>
          </w:p>
        </w:tc>
        <w:tc>
          <w:tcPr>
            <w:tcW w:w="105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仿宋" w:hAnsi="仿宋" w:eastAsia="仿宋" w:cs="仿宋"/>
                <w:sz w:val="28"/>
                <w:szCs w:val="28"/>
              </w:rPr>
            </w:pPr>
          </w:p>
        </w:tc>
        <w:tc>
          <w:tcPr>
            <w:tcW w:w="1053" w:type="dxa"/>
            <w:tcBorders>
              <w:top w:val="single" w:color="auto" w:sz="4" w:space="0"/>
              <w:left w:val="single" w:color="000000" w:sz="2" w:space="0"/>
              <w:bottom w:val="single" w:color="auto" w:sz="4"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仿宋" w:hAnsi="仿宋" w:eastAsia="仿宋" w:cs="仿宋"/>
                <w:sz w:val="28"/>
                <w:szCs w:val="28"/>
              </w:rPr>
            </w:pPr>
            <w:r>
              <w:rPr>
                <w:rFonts w:hint="eastAsia" w:ascii="仿宋" w:hAnsi="仿宋" w:eastAsia="仿宋" w:cs="仿宋"/>
                <w:sz w:val="28"/>
                <w:szCs w:val="28"/>
                <w:lang w:eastAsia="zh-CN"/>
              </w:rPr>
              <w:t>保留</w:t>
            </w:r>
          </w:p>
        </w:tc>
        <w:tc>
          <w:tcPr>
            <w:tcW w:w="2174" w:type="dxa"/>
            <w:tcBorders>
              <w:top w:val="single" w:color="auto" w:sz="4" w:space="0"/>
              <w:left w:val="single" w:color="000000" w:sz="2" w:space="0"/>
              <w:bottom w:val="single" w:color="auto" w:sz="4" w:space="0"/>
              <w:right w:val="single" w:color="000000" w:sz="2" w:space="0"/>
            </w:tcBorders>
            <w:vAlign w:val="center"/>
          </w:tcPr>
          <w:p>
            <w:pPr>
              <w:pStyle w:val="3"/>
              <w:widowControl/>
              <w:spacing w:before="0" w:beforeAutospacing="0" w:after="0" w:afterAutospacing="0" w:line="360" w:lineRule="exact"/>
              <w:jc w:val="center"/>
              <w:rPr>
                <w:rFonts w:ascii="仿宋" w:hAnsi="仿宋" w:eastAsia="仿宋" w:cs="仿宋"/>
                <w:sz w:val="28"/>
                <w:szCs w:val="28"/>
              </w:rPr>
            </w:pPr>
            <w:r>
              <w:rPr>
                <w:rFonts w:hint="eastAsia" w:ascii="仿宋" w:hAnsi="仿宋" w:eastAsia="仿宋" w:cs="仿宋"/>
                <w:sz w:val="28"/>
                <w:szCs w:val="28"/>
                <w:lang w:val="en-US" w:eastAsia="zh-CN"/>
              </w:rPr>
              <w:t>否</w:t>
            </w:r>
          </w:p>
        </w:tc>
      </w:tr>
      <w:tr>
        <w:tblPrEx>
          <w:tblCellMar>
            <w:top w:w="15" w:type="dxa"/>
            <w:left w:w="15" w:type="dxa"/>
            <w:bottom w:w="15" w:type="dxa"/>
            <w:right w:w="15" w:type="dxa"/>
          </w:tblCellMar>
        </w:tblPrEx>
        <w:trPr>
          <w:trHeight w:val="870" w:hRule="atLeast"/>
        </w:trPr>
        <w:tc>
          <w:tcPr>
            <w:tcW w:w="528"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widowControl/>
              <w:spacing w:line="360" w:lineRule="exact"/>
              <w:jc w:val="center"/>
              <w:rPr>
                <w:rFonts w:ascii="仿宋" w:hAnsi="仿宋" w:eastAsia="仿宋" w:cs="仿宋"/>
                <w:sz w:val="28"/>
                <w:szCs w:val="28"/>
              </w:rPr>
            </w:pPr>
          </w:p>
        </w:tc>
        <w:tc>
          <w:tcPr>
            <w:tcW w:w="1913" w:type="dxa"/>
            <w:tcBorders>
              <w:top w:val="single" w:color="auto" w:sz="4" w:space="0"/>
              <w:left w:val="single" w:color="000000" w:sz="2" w:space="0"/>
              <w:bottom w:val="single" w:color="auto" w:sz="4" w:space="0"/>
              <w:right w:val="single" w:color="auto" w:sz="4" w:space="0"/>
            </w:tcBorders>
            <w:tcMar>
              <w:top w:w="0" w:type="dxa"/>
              <w:left w:w="0" w:type="dxa"/>
              <w:bottom w:w="0" w:type="dxa"/>
              <w:right w:w="0" w:type="dxa"/>
            </w:tcMar>
            <w:vAlign w:val="center"/>
          </w:tcPr>
          <w:p>
            <w:pPr>
              <w:widowControl/>
              <w:spacing w:line="360" w:lineRule="exact"/>
              <w:jc w:val="center"/>
              <w:rPr>
                <w:rFonts w:ascii="仿宋_GB2312" w:hAnsi="仿宋_GB2312" w:eastAsia="仿宋_GB2312"/>
                <w:sz w:val="28"/>
                <w:szCs w:val="28"/>
              </w:rPr>
            </w:pPr>
            <w:r>
              <w:rPr>
                <w:rFonts w:hint="eastAsia" w:ascii="仿宋_GB2312" w:hAnsi="仿宋_GB2312" w:eastAsia="仿宋_GB2312"/>
                <w:sz w:val="24"/>
                <w:szCs w:val="24"/>
              </w:rPr>
              <w:t>提供车辆超载卸载货物堆场服务</w:t>
            </w:r>
          </w:p>
        </w:tc>
        <w:tc>
          <w:tcPr>
            <w:tcW w:w="1416" w:type="dxa"/>
            <w:tcBorders>
              <w:top w:val="single" w:color="000000" w:sz="2" w:space="0"/>
              <w:left w:val="single" w:color="auto" w:sz="4" w:space="0"/>
              <w:bottom w:val="single" w:color="000000" w:sz="2" w:space="0"/>
              <w:right w:val="single" w:color="auto" w:sz="4" w:space="0"/>
            </w:tcBorders>
            <w:tcMar>
              <w:top w:w="0" w:type="dxa"/>
              <w:left w:w="0" w:type="dxa"/>
              <w:bottom w:w="0" w:type="dxa"/>
              <w:right w:w="0" w:type="dxa"/>
            </w:tcMar>
            <w:vAlign w:val="center"/>
          </w:tcPr>
          <w:p>
            <w:pPr>
              <w:widowControl/>
              <w:spacing w:line="360" w:lineRule="exact"/>
              <w:ind w:firstLine="280" w:firstLineChars="100"/>
              <w:jc w:val="center"/>
              <w:rPr>
                <w:rFonts w:ascii="仿宋_GB2312" w:hAnsi="仿宋_GB2312" w:eastAsia="仿宋_GB2312"/>
                <w:sz w:val="28"/>
                <w:szCs w:val="28"/>
              </w:rPr>
            </w:pPr>
            <w:r>
              <w:rPr>
                <w:rFonts w:hint="eastAsia" w:ascii="仿宋_GB2312" w:hAnsi="仿宋_GB2312" w:eastAsia="仿宋_GB2312"/>
                <w:sz w:val="28"/>
                <w:szCs w:val="28"/>
              </w:rPr>
              <w:t>公共服务</w:t>
            </w:r>
          </w:p>
        </w:tc>
        <w:tc>
          <w:tcPr>
            <w:tcW w:w="2261" w:type="dxa"/>
            <w:tcBorders>
              <w:top w:val="single" w:color="000000" w:sz="2" w:space="0"/>
              <w:left w:val="single" w:color="auto" w:sz="4" w:space="0"/>
              <w:bottom w:val="single" w:color="000000" w:sz="2" w:space="0"/>
              <w:right w:val="single" w:color="000000" w:sz="2" w:space="0"/>
            </w:tcBorders>
            <w:tcMar>
              <w:top w:w="0" w:type="dxa"/>
              <w:left w:w="0" w:type="dxa"/>
              <w:bottom w:w="0" w:type="dxa"/>
              <w:right w:w="0" w:type="dxa"/>
            </w:tcMar>
            <w:vAlign w:val="center"/>
          </w:tcPr>
          <w:p>
            <w:pPr>
              <w:widowControl/>
              <w:spacing w:line="360" w:lineRule="exact"/>
              <w:rPr>
                <w:rFonts w:ascii="仿宋_GB2312" w:hAnsi="仿宋_GB2312" w:eastAsia="仿宋_GB2312"/>
                <w:sz w:val="28"/>
                <w:szCs w:val="28"/>
              </w:rPr>
            </w:pPr>
            <w:r>
              <w:rPr>
                <w:rFonts w:hint="eastAsia" w:ascii="仿宋_GB2312" w:hAnsi="仿宋_GB2312" w:eastAsia="仿宋_GB2312"/>
                <w:sz w:val="28"/>
                <w:szCs w:val="28"/>
              </w:rPr>
              <w:t>中华人民共和国道路运输经营许可证</w:t>
            </w:r>
          </w:p>
        </w:tc>
        <w:tc>
          <w:tcPr>
            <w:tcW w:w="5736"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widowControl/>
              <w:spacing w:line="360" w:lineRule="exact"/>
              <w:rPr>
                <w:rFonts w:ascii="仿宋_GB2312" w:hAnsi="仿宋_GB2312" w:eastAsia="仿宋_GB2312"/>
                <w:sz w:val="28"/>
                <w:szCs w:val="28"/>
              </w:rPr>
            </w:pPr>
            <w:r>
              <w:rPr>
                <w:rFonts w:hint="eastAsia" w:ascii="仿宋_GB2312" w:hAnsi="仿宋_GB2312" w:eastAsia="仿宋_GB2312"/>
                <w:sz w:val="28"/>
                <w:szCs w:val="28"/>
              </w:rPr>
              <w:t>《安徽省治理货物运输车辆超限超载条例》</w:t>
            </w:r>
          </w:p>
        </w:tc>
        <w:tc>
          <w:tcPr>
            <w:tcW w:w="105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仿宋" w:hAnsi="仿宋" w:eastAsia="仿宋" w:cs="仿宋"/>
                <w:sz w:val="28"/>
                <w:szCs w:val="28"/>
              </w:rPr>
            </w:pPr>
          </w:p>
        </w:tc>
        <w:tc>
          <w:tcPr>
            <w:tcW w:w="1053" w:type="dxa"/>
            <w:tcBorders>
              <w:top w:val="single" w:color="auto" w:sz="4" w:space="0"/>
              <w:left w:val="single" w:color="000000" w:sz="2" w:space="0"/>
              <w:bottom w:val="single" w:color="auto" w:sz="4"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仿宋" w:hAnsi="仿宋" w:eastAsia="仿宋" w:cs="仿宋"/>
                <w:sz w:val="28"/>
                <w:szCs w:val="28"/>
              </w:rPr>
            </w:pPr>
            <w:r>
              <w:rPr>
                <w:rFonts w:hint="eastAsia" w:ascii="仿宋" w:hAnsi="仿宋" w:eastAsia="仿宋" w:cs="仿宋"/>
                <w:sz w:val="28"/>
                <w:szCs w:val="28"/>
                <w:lang w:eastAsia="zh-CN"/>
              </w:rPr>
              <w:t>保留</w:t>
            </w:r>
          </w:p>
        </w:tc>
        <w:tc>
          <w:tcPr>
            <w:tcW w:w="2174" w:type="dxa"/>
            <w:tcBorders>
              <w:top w:val="single" w:color="auto" w:sz="4" w:space="0"/>
              <w:left w:val="single" w:color="000000" w:sz="2" w:space="0"/>
              <w:bottom w:val="single" w:color="auto" w:sz="4" w:space="0"/>
              <w:right w:val="single" w:color="000000" w:sz="2" w:space="0"/>
            </w:tcBorders>
            <w:vAlign w:val="center"/>
          </w:tcPr>
          <w:p>
            <w:pPr>
              <w:pStyle w:val="3"/>
              <w:widowControl/>
              <w:spacing w:before="0" w:beforeAutospacing="0" w:after="0" w:afterAutospacing="0" w:line="360" w:lineRule="exact"/>
              <w:jc w:val="center"/>
              <w:rPr>
                <w:rFonts w:ascii="仿宋" w:hAnsi="仿宋" w:eastAsia="仿宋" w:cs="仿宋"/>
                <w:sz w:val="28"/>
                <w:szCs w:val="28"/>
              </w:rPr>
            </w:pPr>
            <w:r>
              <w:rPr>
                <w:rFonts w:hint="eastAsia" w:ascii="仿宋" w:hAnsi="仿宋" w:eastAsia="仿宋" w:cs="仿宋"/>
                <w:sz w:val="28"/>
                <w:szCs w:val="28"/>
                <w:lang w:val="en-US" w:eastAsia="zh-CN"/>
              </w:rPr>
              <w:t>否</w:t>
            </w:r>
          </w:p>
        </w:tc>
      </w:tr>
      <w:tr>
        <w:tblPrEx>
          <w:tblCellMar>
            <w:top w:w="15" w:type="dxa"/>
            <w:left w:w="15" w:type="dxa"/>
            <w:bottom w:w="15" w:type="dxa"/>
            <w:right w:w="15" w:type="dxa"/>
          </w:tblCellMar>
        </w:tblPrEx>
        <w:trPr>
          <w:trHeight w:val="552" w:hRule="atLeast"/>
        </w:trPr>
        <w:tc>
          <w:tcPr>
            <w:tcW w:w="528"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widowControl/>
              <w:spacing w:line="360" w:lineRule="exact"/>
              <w:jc w:val="center"/>
              <w:rPr>
                <w:rFonts w:ascii="仿宋" w:hAnsi="仿宋" w:eastAsia="仿宋" w:cs="仿宋"/>
                <w:sz w:val="28"/>
                <w:szCs w:val="28"/>
              </w:rPr>
            </w:pPr>
          </w:p>
        </w:tc>
        <w:tc>
          <w:tcPr>
            <w:tcW w:w="1913" w:type="dxa"/>
            <w:tcBorders>
              <w:top w:val="single" w:color="auto" w:sz="4" w:space="0"/>
              <w:left w:val="single" w:color="000000" w:sz="2" w:space="0"/>
              <w:bottom w:val="single" w:color="auto" w:sz="4" w:space="0"/>
              <w:right w:val="single" w:color="auto" w:sz="4" w:space="0"/>
            </w:tcBorders>
            <w:tcMar>
              <w:top w:w="0" w:type="dxa"/>
              <w:left w:w="0" w:type="dxa"/>
              <w:bottom w:w="0" w:type="dxa"/>
              <w:right w:w="0" w:type="dxa"/>
            </w:tcMar>
            <w:vAlign w:val="center"/>
          </w:tcPr>
          <w:p>
            <w:pPr>
              <w:widowControl/>
              <w:spacing w:line="360" w:lineRule="exact"/>
              <w:jc w:val="center"/>
              <w:rPr>
                <w:rFonts w:ascii="仿宋_GB2312" w:hAnsi="仿宋_GB2312" w:eastAsia="仿宋_GB2312"/>
                <w:sz w:val="28"/>
                <w:szCs w:val="28"/>
              </w:rPr>
            </w:pPr>
            <w:r>
              <w:rPr>
                <w:rFonts w:hint="eastAsia" w:ascii="仿宋_GB2312" w:hAnsi="仿宋_GB2312" w:eastAsia="仿宋_GB2312"/>
                <w:sz w:val="28"/>
                <w:szCs w:val="28"/>
              </w:rPr>
              <w:t>普货货运车辆技术档案移交服务</w:t>
            </w:r>
          </w:p>
        </w:tc>
        <w:tc>
          <w:tcPr>
            <w:tcW w:w="1416" w:type="dxa"/>
            <w:tcBorders>
              <w:top w:val="single" w:color="000000" w:sz="2" w:space="0"/>
              <w:left w:val="single" w:color="auto" w:sz="4" w:space="0"/>
              <w:bottom w:val="single" w:color="000000" w:sz="2" w:space="0"/>
              <w:right w:val="single" w:color="auto" w:sz="4" w:space="0"/>
            </w:tcBorders>
            <w:tcMar>
              <w:top w:w="0" w:type="dxa"/>
              <w:left w:w="0" w:type="dxa"/>
              <w:bottom w:w="0" w:type="dxa"/>
              <w:right w:w="0" w:type="dxa"/>
            </w:tcMar>
            <w:vAlign w:val="center"/>
          </w:tcPr>
          <w:p>
            <w:pPr>
              <w:widowControl/>
              <w:spacing w:line="360" w:lineRule="exact"/>
              <w:ind w:firstLine="280" w:firstLineChars="100"/>
              <w:jc w:val="center"/>
              <w:rPr>
                <w:rFonts w:ascii="仿宋_GB2312" w:hAnsi="仿宋_GB2312" w:eastAsia="仿宋_GB2312"/>
                <w:sz w:val="28"/>
                <w:szCs w:val="28"/>
              </w:rPr>
            </w:pPr>
            <w:r>
              <w:rPr>
                <w:rFonts w:hint="eastAsia" w:ascii="仿宋_GB2312" w:hAnsi="仿宋_GB2312" w:eastAsia="仿宋_GB2312"/>
                <w:sz w:val="28"/>
                <w:szCs w:val="28"/>
              </w:rPr>
              <w:t>公共服务</w:t>
            </w:r>
          </w:p>
        </w:tc>
        <w:tc>
          <w:tcPr>
            <w:tcW w:w="2261" w:type="dxa"/>
            <w:tcBorders>
              <w:top w:val="single" w:color="000000" w:sz="2" w:space="0"/>
              <w:left w:val="single" w:color="auto" w:sz="4" w:space="0"/>
              <w:bottom w:val="single" w:color="000000" w:sz="2" w:space="0"/>
              <w:right w:val="single" w:color="000000" w:sz="2" w:space="0"/>
            </w:tcBorders>
            <w:tcMar>
              <w:top w:w="0" w:type="dxa"/>
              <w:left w:w="0" w:type="dxa"/>
              <w:bottom w:w="0" w:type="dxa"/>
              <w:right w:w="0" w:type="dxa"/>
            </w:tcMar>
            <w:vAlign w:val="center"/>
          </w:tcPr>
          <w:p>
            <w:pPr>
              <w:widowControl/>
              <w:spacing w:line="360" w:lineRule="exact"/>
              <w:rPr>
                <w:rFonts w:ascii="仿宋_GB2312" w:hAnsi="仿宋_GB2312" w:eastAsia="仿宋_GB2312"/>
                <w:sz w:val="28"/>
                <w:szCs w:val="28"/>
              </w:rPr>
            </w:pPr>
            <w:r>
              <w:rPr>
                <w:rFonts w:hint="eastAsia" w:ascii="仿宋_GB2312" w:hAnsi="仿宋_GB2312" w:eastAsia="仿宋_GB2312"/>
                <w:sz w:val="28"/>
                <w:szCs w:val="28"/>
              </w:rPr>
              <w:t>车辆技术档案</w:t>
            </w:r>
          </w:p>
        </w:tc>
        <w:tc>
          <w:tcPr>
            <w:tcW w:w="5736"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widowControl/>
              <w:spacing w:line="360" w:lineRule="exact"/>
              <w:rPr>
                <w:rFonts w:ascii="仿宋_GB2312" w:hAnsi="仿宋_GB2312" w:eastAsia="仿宋_GB2312"/>
                <w:sz w:val="28"/>
                <w:szCs w:val="28"/>
              </w:rPr>
            </w:pPr>
            <w:r>
              <w:rPr>
                <w:rFonts w:hint="eastAsia" w:ascii="仿宋_GB2312" w:hAnsi="仿宋_GB2312" w:eastAsia="仿宋_GB2312"/>
                <w:sz w:val="28"/>
                <w:szCs w:val="28"/>
              </w:rPr>
              <w:t>《道路运输车辆技术管理规定》第十四条：车辆所有权转移、转籍时，车辆技术档案应当随车移交。道路运输经营者应当运用信息化技术做好道路运输车辆技术档案管理工作。</w:t>
            </w:r>
          </w:p>
        </w:tc>
        <w:tc>
          <w:tcPr>
            <w:tcW w:w="105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仿宋" w:hAnsi="仿宋" w:eastAsia="仿宋" w:cs="仿宋"/>
                <w:sz w:val="28"/>
                <w:szCs w:val="28"/>
              </w:rPr>
            </w:pPr>
          </w:p>
        </w:tc>
        <w:tc>
          <w:tcPr>
            <w:tcW w:w="1053" w:type="dxa"/>
            <w:tcBorders>
              <w:top w:val="single" w:color="auto" w:sz="4" w:space="0"/>
              <w:left w:val="single" w:color="000000" w:sz="2" w:space="0"/>
              <w:bottom w:val="single" w:color="auto" w:sz="4"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仿宋" w:hAnsi="仿宋" w:eastAsia="仿宋" w:cs="仿宋"/>
                <w:sz w:val="28"/>
                <w:szCs w:val="28"/>
              </w:rPr>
            </w:pPr>
            <w:r>
              <w:rPr>
                <w:rFonts w:hint="eastAsia" w:ascii="仿宋" w:hAnsi="仿宋" w:eastAsia="仿宋" w:cs="仿宋"/>
                <w:sz w:val="28"/>
                <w:szCs w:val="28"/>
                <w:lang w:eastAsia="zh-CN"/>
              </w:rPr>
              <w:t>保留</w:t>
            </w:r>
          </w:p>
        </w:tc>
        <w:tc>
          <w:tcPr>
            <w:tcW w:w="2174" w:type="dxa"/>
            <w:tcBorders>
              <w:top w:val="single" w:color="auto" w:sz="4" w:space="0"/>
              <w:left w:val="single" w:color="000000" w:sz="2" w:space="0"/>
              <w:bottom w:val="single" w:color="auto" w:sz="4" w:space="0"/>
              <w:right w:val="single" w:color="000000" w:sz="2" w:space="0"/>
            </w:tcBorders>
            <w:vAlign w:val="center"/>
          </w:tcPr>
          <w:p>
            <w:pPr>
              <w:pStyle w:val="3"/>
              <w:widowControl/>
              <w:spacing w:before="0" w:beforeAutospacing="0" w:after="0" w:afterAutospacing="0" w:line="360" w:lineRule="exact"/>
              <w:jc w:val="center"/>
              <w:rPr>
                <w:rFonts w:ascii="仿宋" w:hAnsi="仿宋" w:eastAsia="仿宋" w:cs="仿宋"/>
                <w:sz w:val="28"/>
                <w:szCs w:val="28"/>
              </w:rPr>
            </w:pPr>
            <w:r>
              <w:rPr>
                <w:rFonts w:hint="eastAsia" w:ascii="仿宋" w:hAnsi="仿宋" w:eastAsia="仿宋" w:cs="仿宋"/>
                <w:sz w:val="28"/>
                <w:szCs w:val="28"/>
                <w:lang w:val="en-US" w:eastAsia="zh-CN"/>
              </w:rPr>
              <w:t>否</w:t>
            </w:r>
          </w:p>
        </w:tc>
      </w:tr>
      <w:tr>
        <w:tblPrEx>
          <w:tblCellMar>
            <w:top w:w="15" w:type="dxa"/>
            <w:left w:w="15" w:type="dxa"/>
            <w:bottom w:w="15" w:type="dxa"/>
            <w:right w:w="15" w:type="dxa"/>
          </w:tblCellMar>
        </w:tblPrEx>
        <w:trPr>
          <w:trHeight w:val="6675" w:hRule="atLeast"/>
        </w:trPr>
        <w:tc>
          <w:tcPr>
            <w:tcW w:w="528"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widowControl/>
              <w:spacing w:line="360" w:lineRule="exact"/>
              <w:jc w:val="center"/>
              <w:rPr>
                <w:rFonts w:ascii="仿宋" w:hAnsi="仿宋" w:eastAsia="仿宋" w:cs="仿宋"/>
                <w:sz w:val="28"/>
                <w:szCs w:val="28"/>
              </w:rPr>
            </w:pPr>
          </w:p>
        </w:tc>
        <w:tc>
          <w:tcPr>
            <w:tcW w:w="1913" w:type="dxa"/>
            <w:tcBorders>
              <w:top w:val="single" w:color="auto" w:sz="4" w:space="0"/>
              <w:left w:val="single" w:color="000000" w:sz="2" w:space="0"/>
              <w:bottom w:val="single" w:color="auto" w:sz="4" w:space="0"/>
              <w:right w:val="single" w:color="auto" w:sz="4" w:space="0"/>
            </w:tcBorders>
            <w:tcMar>
              <w:top w:w="0" w:type="dxa"/>
              <w:left w:w="0" w:type="dxa"/>
              <w:bottom w:w="0" w:type="dxa"/>
              <w:right w:w="0" w:type="dxa"/>
            </w:tcMar>
            <w:vAlign w:val="center"/>
          </w:tcPr>
          <w:p>
            <w:pPr>
              <w:widowControl/>
              <w:spacing w:line="360" w:lineRule="exact"/>
              <w:jc w:val="center"/>
              <w:rPr>
                <w:rFonts w:ascii="仿宋_GB2312" w:hAnsi="仿宋_GB2312" w:eastAsia="仿宋_GB2312"/>
                <w:sz w:val="28"/>
                <w:szCs w:val="28"/>
              </w:rPr>
            </w:pPr>
            <w:r>
              <w:rPr>
                <w:rFonts w:hint="eastAsia" w:ascii="仿宋_GB2312" w:hAnsi="仿宋_GB2312" w:eastAsia="仿宋_GB2312"/>
                <w:sz w:val="28"/>
                <w:szCs w:val="28"/>
              </w:rPr>
              <w:t>道路普通货物运输车辆异动手续办理</w:t>
            </w:r>
          </w:p>
        </w:tc>
        <w:tc>
          <w:tcPr>
            <w:tcW w:w="1416" w:type="dxa"/>
            <w:tcBorders>
              <w:top w:val="single" w:color="000000" w:sz="2" w:space="0"/>
              <w:left w:val="single" w:color="auto" w:sz="4" w:space="0"/>
              <w:bottom w:val="single" w:color="000000" w:sz="2" w:space="0"/>
              <w:right w:val="single" w:color="auto" w:sz="4" w:space="0"/>
            </w:tcBorders>
            <w:tcMar>
              <w:top w:w="0" w:type="dxa"/>
              <w:left w:w="0" w:type="dxa"/>
              <w:bottom w:w="0" w:type="dxa"/>
              <w:right w:w="0" w:type="dxa"/>
            </w:tcMar>
            <w:vAlign w:val="center"/>
          </w:tcPr>
          <w:p>
            <w:pPr>
              <w:widowControl/>
              <w:spacing w:line="360" w:lineRule="exact"/>
              <w:ind w:firstLine="280" w:firstLineChars="100"/>
              <w:jc w:val="center"/>
              <w:rPr>
                <w:rFonts w:ascii="仿宋_GB2312" w:hAnsi="仿宋_GB2312" w:eastAsia="仿宋_GB2312"/>
                <w:sz w:val="28"/>
                <w:szCs w:val="28"/>
              </w:rPr>
            </w:pPr>
            <w:r>
              <w:rPr>
                <w:rFonts w:hint="eastAsia" w:ascii="仿宋_GB2312" w:hAnsi="仿宋_GB2312" w:eastAsia="仿宋_GB2312"/>
                <w:sz w:val="28"/>
                <w:szCs w:val="28"/>
              </w:rPr>
              <w:t>公共服务</w:t>
            </w:r>
          </w:p>
        </w:tc>
        <w:tc>
          <w:tcPr>
            <w:tcW w:w="2261" w:type="dxa"/>
            <w:tcBorders>
              <w:top w:val="single" w:color="000000" w:sz="2" w:space="0"/>
              <w:left w:val="single" w:color="auto" w:sz="4" w:space="0"/>
              <w:bottom w:val="single" w:color="000000" w:sz="2" w:space="0"/>
              <w:right w:val="single" w:color="000000" w:sz="2" w:space="0"/>
            </w:tcBorders>
            <w:tcMar>
              <w:top w:w="0" w:type="dxa"/>
              <w:left w:w="0" w:type="dxa"/>
              <w:bottom w:w="0" w:type="dxa"/>
              <w:right w:w="0" w:type="dxa"/>
            </w:tcMar>
            <w:vAlign w:val="center"/>
          </w:tcPr>
          <w:p>
            <w:pPr>
              <w:widowControl/>
              <w:spacing w:line="360" w:lineRule="exact"/>
              <w:rPr>
                <w:rFonts w:ascii="仿宋_GB2312" w:hAnsi="仿宋_GB2312" w:eastAsia="仿宋_GB2312"/>
                <w:sz w:val="28"/>
                <w:szCs w:val="28"/>
              </w:rPr>
            </w:pPr>
            <w:r>
              <w:rPr>
                <w:rFonts w:hint="eastAsia" w:ascii="仿宋_GB2312" w:hAnsi="仿宋_GB2312" w:eastAsia="仿宋_GB2312"/>
                <w:sz w:val="28"/>
                <w:szCs w:val="28"/>
              </w:rPr>
              <w:t>申请表，道路运输经营许可证，机动车综合性能检测报告单，机动车行驶证，车辆技术等级评定表</w:t>
            </w:r>
          </w:p>
        </w:tc>
        <w:tc>
          <w:tcPr>
            <w:tcW w:w="5736"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仿宋_GB2312" w:hAnsi="仿宋_GB2312" w:eastAsia="仿宋_GB2312"/>
                <w:sz w:val="28"/>
                <w:szCs w:val="28"/>
              </w:rPr>
            </w:pPr>
            <w:r>
              <w:rPr>
                <w:rFonts w:ascii="仿宋_GB2312" w:hAnsi="仿宋_GB2312" w:eastAsia="仿宋_GB2312"/>
                <w:sz w:val="24"/>
                <w:szCs w:val="24"/>
              </w:rPr>
              <w:t>1.</w:t>
            </w:r>
            <w:r>
              <w:rPr>
                <w:rFonts w:hint="eastAsia" w:ascii="仿宋_GB2312" w:hAnsi="仿宋_GB2312" w:eastAsia="仿宋_GB2312"/>
                <w:sz w:val="24"/>
                <w:szCs w:val="24"/>
              </w:rPr>
              <w:t>《道路货物运输及站场管理规定》第二十三条</w:t>
            </w:r>
            <w:r>
              <w:rPr>
                <w:rFonts w:ascii="仿宋_GB2312" w:hAnsi="仿宋_GB2312" w:eastAsia="仿宋_GB2312"/>
                <w:sz w:val="24"/>
                <w:szCs w:val="24"/>
              </w:rPr>
              <w:t>:</w:t>
            </w:r>
            <w:r>
              <w:rPr>
                <w:rFonts w:hint="eastAsia" w:ascii="仿宋_GB2312" w:hAnsi="仿宋_GB2312" w:eastAsia="仿宋_GB2312"/>
                <w:sz w:val="24"/>
                <w:szCs w:val="24"/>
              </w:rPr>
              <w:t>禁止使用报废的、擅自改装的、拼装的、检测不合格的和其他不符合国家规定的车辆从事道路货物运输经营。</w:t>
            </w:r>
            <w:r>
              <w:rPr>
                <w:rFonts w:ascii="仿宋_GB2312" w:hAnsi="仿宋_GB2312" w:eastAsia="仿宋_GB2312"/>
                <w:sz w:val="24"/>
                <w:szCs w:val="24"/>
              </w:rPr>
              <w:t xml:space="preserve"> </w:t>
            </w:r>
            <w:r>
              <w:rPr>
                <w:rFonts w:hint="eastAsia" w:ascii="仿宋_GB2312" w:hAnsi="仿宋_GB2312" w:eastAsia="仿宋_GB2312"/>
                <w:sz w:val="24"/>
                <w:szCs w:val="24"/>
              </w:rPr>
              <w:t>第二十四条</w:t>
            </w:r>
            <w:r>
              <w:rPr>
                <w:rFonts w:ascii="仿宋_GB2312" w:hAnsi="仿宋_GB2312" w:eastAsia="仿宋_GB2312"/>
                <w:sz w:val="24"/>
                <w:szCs w:val="24"/>
              </w:rPr>
              <w:t>:</w:t>
            </w:r>
            <w:r>
              <w:rPr>
                <w:rFonts w:hint="eastAsia" w:ascii="仿宋_GB2312" w:hAnsi="仿宋_GB2312" w:eastAsia="仿宋_GB2312"/>
                <w:sz w:val="24"/>
                <w:szCs w:val="24"/>
              </w:rPr>
              <w:t>道路货物运输经营者和县级以上道路运输管理机构应当分别建立货运车辆技术档案和管理档案，并妥善保管。对相关内容的记载应当及时、完整和准确，不得随意更改。道路货物运输车辆办理过户变更手续时，道路货物运输经营者应当将货运车辆技术档案完整移交。县级以上道路运输管理机构对经营者车辆技术档案建立情况实施监督管理。第二十五条</w:t>
            </w:r>
            <w:r>
              <w:rPr>
                <w:rFonts w:ascii="仿宋_GB2312" w:hAnsi="仿宋_GB2312" w:eastAsia="仿宋_GB2312"/>
                <w:sz w:val="24"/>
                <w:szCs w:val="24"/>
              </w:rPr>
              <w:t>:</w:t>
            </w:r>
            <w:r>
              <w:rPr>
                <w:rFonts w:hint="eastAsia" w:ascii="仿宋_GB2312" w:hAnsi="仿宋_GB2312" w:eastAsia="仿宋_GB2312"/>
                <w:sz w:val="24"/>
                <w:szCs w:val="24"/>
              </w:rPr>
              <w:t>道路货物运输经营者对达到国家规定的报废标准或者经检测不符合国家强制性标准要求的货运车辆，应当及时交回《道路运输证》，不得继续从事道路货物运输经营。</w:t>
            </w:r>
          </w:p>
        </w:tc>
        <w:tc>
          <w:tcPr>
            <w:tcW w:w="105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仿宋" w:hAnsi="仿宋" w:eastAsia="仿宋" w:cs="仿宋"/>
                <w:sz w:val="28"/>
                <w:szCs w:val="28"/>
              </w:rPr>
            </w:pPr>
          </w:p>
        </w:tc>
        <w:tc>
          <w:tcPr>
            <w:tcW w:w="1053" w:type="dxa"/>
            <w:tcBorders>
              <w:top w:val="single" w:color="auto" w:sz="4" w:space="0"/>
              <w:left w:val="single" w:color="000000" w:sz="2" w:space="0"/>
              <w:bottom w:val="single" w:color="auto" w:sz="4"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仿宋" w:hAnsi="仿宋" w:eastAsia="仿宋" w:cs="仿宋"/>
                <w:sz w:val="28"/>
                <w:szCs w:val="28"/>
              </w:rPr>
            </w:pPr>
            <w:r>
              <w:rPr>
                <w:rFonts w:hint="eastAsia" w:ascii="仿宋" w:hAnsi="仿宋" w:eastAsia="仿宋" w:cs="仿宋"/>
                <w:sz w:val="28"/>
                <w:szCs w:val="28"/>
                <w:lang w:eastAsia="zh-CN"/>
              </w:rPr>
              <w:t>保留</w:t>
            </w:r>
          </w:p>
        </w:tc>
        <w:tc>
          <w:tcPr>
            <w:tcW w:w="2174" w:type="dxa"/>
            <w:tcBorders>
              <w:top w:val="single" w:color="auto" w:sz="4" w:space="0"/>
              <w:left w:val="single" w:color="000000" w:sz="2" w:space="0"/>
              <w:bottom w:val="single" w:color="auto" w:sz="4" w:space="0"/>
              <w:right w:val="single" w:color="000000" w:sz="2" w:space="0"/>
            </w:tcBorders>
            <w:vAlign w:val="center"/>
          </w:tcPr>
          <w:p>
            <w:pPr>
              <w:pStyle w:val="3"/>
              <w:widowControl/>
              <w:spacing w:before="0" w:beforeAutospacing="0" w:after="0" w:afterAutospacing="0" w:line="360" w:lineRule="exact"/>
              <w:jc w:val="center"/>
              <w:rPr>
                <w:rFonts w:ascii="仿宋" w:hAnsi="仿宋" w:eastAsia="仿宋" w:cs="仿宋"/>
                <w:sz w:val="28"/>
                <w:szCs w:val="28"/>
              </w:rPr>
            </w:pPr>
            <w:r>
              <w:rPr>
                <w:rFonts w:hint="eastAsia" w:ascii="仿宋" w:hAnsi="仿宋" w:eastAsia="仿宋" w:cs="仿宋"/>
                <w:sz w:val="28"/>
                <w:szCs w:val="28"/>
                <w:lang w:val="en-US" w:eastAsia="zh-CN"/>
              </w:rPr>
              <w:t>否</w:t>
            </w:r>
          </w:p>
        </w:tc>
      </w:tr>
      <w:tr>
        <w:tblPrEx>
          <w:tblCellMar>
            <w:top w:w="15" w:type="dxa"/>
            <w:left w:w="15" w:type="dxa"/>
            <w:bottom w:w="15" w:type="dxa"/>
            <w:right w:w="15" w:type="dxa"/>
          </w:tblCellMar>
        </w:tblPrEx>
        <w:trPr>
          <w:trHeight w:val="552" w:hRule="atLeast"/>
        </w:trPr>
        <w:tc>
          <w:tcPr>
            <w:tcW w:w="528"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widowControl/>
              <w:spacing w:line="360" w:lineRule="exact"/>
              <w:jc w:val="center"/>
              <w:rPr>
                <w:rFonts w:ascii="仿宋" w:hAnsi="仿宋" w:eastAsia="仿宋" w:cs="仿宋"/>
                <w:sz w:val="28"/>
                <w:szCs w:val="28"/>
              </w:rPr>
            </w:pPr>
          </w:p>
        </w:tc>
        <w:tc>
          <w:tcPr>
            <w:tcW w:w="1913" w:type="dxa"/>
            <w:tcBorders>
              <w:top w:val="single" w:color="auto" w:sz="4" w:space="0"/>
              <w:left w:val="single" w:color="000000" w:sz="2" w:space="0"/>
              <w:bottom w:val="single" w:color="auto" w:sz="4" w:space="0"/>
              <w:right w:val="single" w:color="auto" w:sz="4" w:space="0"/>
            </w:tcBorders>
            <w:tcMar>
              <w:top w:w="0" w:type="dxa"/>
              <w:left w:w="0" w:type="dxa"/>
              <w:bottom w:w="0" w:type="dxa"/>
              <w:right w:w="0" w:type="dxa"/>
            </w:tcMar>
            <w:vAlign w:val="center"/>
          </w:tcPr>
          <w:p>
            <w:pPr>
              <w:widowControl/>
              <w:spacing w:line="360" w:lineRule="exact"/>
              <w:jc w:val="center"/>
              <w:rPr>
                <w:rFonts w:ascii="仿宋_GB2312" w:hAnsi="仿宋_GB2312" w:eastAsia="仿宋_GB2312"/>
                <w:sz w:val="28"/>
                <w:szCs w:val="28"/>
              </w:rPr>
            </w:pPr>
            <w:r>
              <w:rPr>
                <w:rFonts w:hint="eastAsia" w:ascii="仿宋_GB2312" w:hAnsi="仿宋_GB2312" w:eastAsia="仿宋_GB2312"/>
                <w:sz w:val="28"/>
                <w:szCs w:val="28"/>
              </w:rPr>
              <w:t>农村老公路农民代表工（养护工）补助发放</w:t>
            </w:r>
          </w:p>
        </w:tc>
        <w:tc>
          <w:tcPr>
            <w:tcW w:w="1416" w:type="dxa"/>
            <w:tcBorders>
              <w:top w:val="single" w:color="000000" w:sz="2" w:space="0"/>
              <w:left w:val="single" w:color="auto" w:sz="4" w:space="0"/>
              <w:bottom w:val="single" w:color="000000" w:sz="2" w:space="0"/>
              <w:right w:val="single" w:color="auto" w:sz="4" w:space="0"/>
            </w:tcBorders>
            <w:tcMar>
              <w:top w:w="0" w:type="dxa"/>
              <w:left w:w="0" w:type="dxa"/>
              <w:bottom w:w="0" w:type="dxa"/>
              <w:right w:w="0" w:type="dxa"/>
            </w:tcMar>
            <w:vAlign w:val="center"/>
          </w:tcPr>
          <w:p>
            <w:pPr>
              <w:widowControl/>
              <w:spacing w:line="360" w:lineRule="exact"/>
              <w:ind w:firstLine="280" w:firstLineChars="100"/>
              <w:jc w:val="center"/>
              <w:rPr>
                <w:rFonts w:ascii="仿宋_GB2312" w:hAnsi="仿宋_GB2312" w:eastAsia="仿宋_GB2312"/>
                <w:sz w:val="28"/>
                <w:szCs w:val="28"/>
              </w:rPr>
            </w:pPr>
            <w:r>
              <w:rPr>
                <w:rFonts w:hint="eastAsia" w:ascii="仿宋_GB2312" w:hAnsi="仿宋_GB2312" w:eastAsia="仿宋_GB2312"/>
                <w:sz w:val="28"/>
                <w:szCs w:val="28"/>
              </w:rPr>
              <w:t>公共服务</w:t>
            </w:r>
          </w:p>
        </w:tc>
        <w:tc>
          <w:tcPr>
            <w:tcW w:w="2261" w:type="dxa"/>
            <w:tcBorders>
              <w:top w:val="single" w:color="000000" w:sz="2" w:space="0"/>
              <w:left w:val="single" w:color="auto" w:sz="4" w:space="0"/>
              <w:bottom w:val="single" w:color="000000" w:sz="2" w:space="0"/>
              <w:right w:val="single" w:color="000000" w:sz="2" w:space="0"/>
            </w:tcBorders>
            <w:tcMar>
              <w:top w:w="0" w:type="dxa"/>
              <w:left w:w="0" w:type="dxa"/>
              <w:bottom w:w="0" w:type="dxa"/>
              <w:right w:w="0" w:type="dxa"/>
            </w:tcMar>
            <w:vAlign w:val="center"/>
          </w:tcPr>
          <w:p>
            <w:pPr>
              <w:widowControl/>
              <w:spacing w:line="360" w:lineRule="exact"/>
              <w:rPr>
                <w:rFonts w:ascii="仿宋_GB2312" w:hAnsi="仿宋_GB2312" w:eastAsia="仿宋_GB2312"/>
                <w:sz w:val="28"/>
                <w:szCs w:val="28"/>
              </w:rPr>
            </w:pPr>
            <w:r>
              <w:rPr>
                <w:rFonts w:hint="eastAsia" w:ascii="仿宋_GB2312" w:hAnsi="仿宋_GB2312" w:eastAsia="仿宋_GB2312"/>
                <w:sz w:val="28"/>
                <w:szCs w:val="28"/>
              </w:rPr>
              <w:t>户口本，工作证明</w:t>
            </w:r>
          </w:p>
        </w:tc>
        <w:tc>
          <w:tcPr>
            <w:tcW w:w="5736"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widowControl/>
              <w:spacing w:line="300" w:lineRule="exact"/>
              <w:rPr>
                <w:rFonts w:ascii="仿宋_GB2312" w:hAnsi="仿宋_GB2312" w:eastAsia="仿宋_GB2312"/>
                <w:sz w:val="28"/>
                <w:szCs w:val="28"/>
              </w:rPr>
            </w:pPr>
            <w:r>
              <w:rPr>
                <w:rFonts w:ascii="仿宋_GB2312" w:hAnsi="仿宋_GB2312" w:eastAsia="仿宋_GB2312"/>
                <w:sz w:val="21"/>
                <w:szCs w:val="21"/>
              </w:rPr>
              <w:t>1.</w:t>
            </w:r>
            <w:r>
              <w:rPr>
                <w:rFonts w:hint="eastAsia" w:ascii="仿宋_GB2312" w:hAnsi="仿宋_GB2312" w:eastAsia="仿宋_GB2312"/>
                <w:sz w:val="21"/>
                <w:szCs w:val="21"/>
              </w:rPr>
              <w:t>《关于为农村老公路农民代表工（养护工）发放工龄补助的实施方案》（皖交人教〔</w:t>
            </w:r>
            <w:r>
              <w:rPr>
                <w:rFonts w:ascii="仿宋_GB2312" w:hAnsi="仿宋_GB2312" w:eastAsia="仿宋_GB2312"/>
                <w:sz w:val="21"/>
                <w:szCs w:val="21"/>
              </w:rPr>
              <w:t>2014</w:t>
            </w:r>
            <w:r>
              <w:rPr>
                <w:rFonts w:hint="eastAsia" w:ascii="仿宋_GB2312" w:hAnsi="仿宋_GB2312" w:eastAsia="仿宋_GB2312"/>
                <w:sz w:val="21"/>
                <w:szCs w:val="21"/>
              </w:rPr>
              <w:t>〕</w:t>
            </w:r>
            <w:r>
              <w:rPr>
                <w:rFonts w:ascii="仿宋_GB2312" w:hAnsi="仿宋_GB2312" w:eastAsia="仿宋_GB2312"/>
                <w:sz w:val="21"/>
                <w:szCs w:val="21"/>
              </w:rPr>
              <w:t>75</w:t>
            </w:r>
            <w:r>
              <w:rPr>
                <w:rFonts w:hint="eastAsia" w:ascii="仿宋_GB2312" w:hAnsi="仿宋_GB2312" w:eastAsia="仿宋_GB2312"/>
                <w:sz w:val="21"/>
                <w:szCs w:val="21"/>
              </w:rPr>
              <w:t>号）：人员身份和工龄的认定程序：（一）个人向县（市、区）交通运输部门认定工作小组提出申请，并提供能证明个人身份、工作经历的相关原始材料。（二）县（市、区）交通运输部门认定工作小组进行初审核实，初审结果在乡镇、原工作单位进行不少于</w:t>
            </w:r>
            <w:r>
              <w:rPr>
                <w:rFonts w:ascii="仿宋_GB2312" w:hAnsi="仿宋_GB2312" w:eastAsia="仿宋_GB2312"/>
                <w:sz w:val="21"/>
                <w:szCs w:val="21"/>
              </w:rPr>
              <w:t>1</w:t>
            </w:r>
            <w:r>
              <w:rPr>
                <w:rFonts w:hint="eastAsia" w:ascii="仿宋_GB2312" w:hAnsi="仿宋_GB2312" w:eastAsia="仿宋_GB2312"/>
                <w:sz w:val="21"/>
                <w:szCs w:val="21"/>
              </w:rPr>
              <w:t>周的公示。（五）审核后的发放名单报设区的市农村老公路农民代表工（养护工）工龄补助专项工作领导小组核定，并报省交通运输、财政、人力资源社会保障部门批准备案。四、发放办法符合条件人员的工龄补助由所在县（市、区）居民养老保险经办机构按月代发。</w:t>
            </w:r>
            <w:r>
              <w:rPr>
                <w:rFonts w:ascii="仿宋_GB2312" w:hAnsi="仿宋_GB2312" w:eastAsia="仿宋_GB2312"/>
                <w:sz w:val="21"/>
                <w:szCs w:val="21"/>
              </w:rPr>
              <w:br w:type="textWrapping"/>
            </w:r>
            <w:r>
              <w:rPr>
                <w:rFonts w:ascii="仿宋_GB2312" w:hAnsi="仿宋_GB2312" w:eastAsia="仿宋_GB2312"/>
                <w:sz w:val="21"/>
                <w:szCs w:val="21"/>
              </w:rPr>
              <w:t>2.</w:t>
            </w:r>
            <w:r>
              <w:rPr>
                <w:rFonts w:hint="eastAsia" w:ascii="仿宋_GB2312" w:hAnsi="仿宋_GB2312" w:eastAsia="仿宋_GB2312"/>
                <w:sz w:val="21"/>
                <w:szCs w:val="21"/>
              </w:rPr>
              <w:t>《安徽省农村老公路农民代表工（养护工）身份和工龄认定及补助发放工作实施细则》（皖交人教〔</w:t>
            </w:r>
            <w:r>
              <w:rPr>
                <w:rFonts w:ascii="仿宋_GB2312" w:hAnsi="仿宋_GB2312" w:eastAsia="仿宋_GB2312"/>
                <w:sz w:val="21"/>
                <w:szCs w:val="21"/>
              </w:rPr>
              <w:t>2014</w:t>
            </w:r>
            <w:r>
              <w:rPr>
                <w:rFonts w:hint="eastAsia" w:ascii="仿宋_GB2312" w:hAnsi="仿宋_GB2312" w:eastAsia="仿宋_GB2312"/>
                <w:sz w:val="21"/>
                <w:szCs w:val="21"/>
              </w:rPr>
              <w:t>〕</w:t>
            </w:r>
            <w:r>
              <w:rPr>
                <w:rFonts w:ascii="仿宋_GB2312" w:hAnsi="仿宋_GB2312" w:eastAsia="仿宋_GB2312"/>
                <w:sz w:val="21"/>
                <w:szCs w:val="21"/>
              </w:rPr>
              <w:t>78</w:t>
            </w:r>
            <w:r>
              <w:rPr>
                <w:rFonts w:hint="eastAsia" w:ascii="仿宋_GB2312" w:hAnsi="仿宋_GB2312" w:eastAsia="仿宋_GB2312"/>
                <w:sz w:val="21"/>
                <w:szCs w:val="21"/>
              </w:rPr>
              <w:t>号）第十一条：个人申请。县认定工作小组采取公告等多种形式，将老公路农民代表工（养护工）身份、工龄认定政策及工作流程，告知辖区内老公路农民代表工（养护工）。老公路农民代表工（养护工）向户籍所在地县认定工作小组提出申请，填写申请表，并提供本人身份证、户口本及能证明其老公路农民代表工（养护工）身份、工龄的原始材料。第十二条：受理登记。县认定工作小组受理登记申请人提交的材料，一人一卷，建立档案。第十三条：初审公示。县认定工作小组应集中收集老公路农民代表工（养护工）的原始档案材料，进行整理、复印和立卷入档，并结合申请人提交的材料，逐人进行初审。对卷宗材料齐全，符合要求的，认定工作小组要及时予以初审通过；对卷宗材料不齐全的，认定工作小组要组织人员进行调查、取证与核实。对不符合认定范围和条件的，要向当事人说明原因，做好解释工作。</w:t>
            </w:r>
          </w:p>
        </w:tc>
        <w:tc>
          <w:tcPr>
            <w:tcW w:w="105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仿宋" w:hAnsi="仿宋" w:eastAsia="仿宋" w:cs="仿宋"/>
                <w:sz w:val="28"/>
                <w:szCs w:val="28"/>
              </w:rPr>
            </w:pPr>
          </w:p>
        </w:tc>
        <w:tc>
          <w:tcPr>
            <w:tcW w:w="1053" w:type="dxa"/>
            <w:tcBorders>
              <w:top w:val="single" w:color="auto" w:sz="4" w:space="0"/>
              <w:left w:val="single" w:color="000000" w:sz="2" w:space="0"/>
              <w:bottom w:val="single" w:color="auto" w:sz="4"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仿宋" w:hAnsi="仿宋" w:eastAsia="仿宋" w:cs="仿宋"/>
                <w:sz w:val="28"/>
                <w:szCs w:val="28"/>
              </w:rPr>
            </w:pPr>
            <w:r>
              <w:rPr>
                <w:rFonts w:hint="eastAsia" w:ascii="仿宋" w:hAnsi="仿宋" w:eastAsia="仿宋" w:cs="仿宋"/>
                <w:sz w:val="28"/>
                <w:szCs w:val="28"/>
                <w:lang w:eastAsia="zh-CN"/>
              </w:rPr>
              <w:t>保留</w:t>
            </w:r>
          </w:p>
        </w:tc>
        <w:tc>
          <w:tcPr>
            <w:tcW w:w="2174" w:type="dxa"/>
            <w:tcBorders>
              <w:top w:val="single" w:color="auto" w:sz="4" w:space="0"/>
              <w:left w:val="single" w:color="000000" w:sz="2" w:space="0"/>
              <w:bottom w:val="single" w:color="auto" w:sz="4" w:space="0"/>
              <w:right w:val="single" w:color="000000" w:sz="2" w:space="0"/>
            </w:tcBorders>
            <w:vAlign w:val="center"/>
          </w:tcPr>
          <w:p>
            <w:pPr>
              <w:pStyle w:val="3"/>
              <w:widowControl/>
              <w:spacing w:before="0" w:beforeAutospacing="0" w:after="0" w:afterAutospacing="0" w:line="360" w:lineRule="exact"/>
              <w:jc w:val="center"/>
              <w:rPr>
                <w:rFonts w:ascii="仿宋" w:hAnsi="仿宋" w:eastAsia="仿宋" w:cs="仿宋"/>
                <w:sz w:val="28"/>
                <w:szCs w:val="28"/>
              </w:rPr>
            </w:pPr>
            <w:r>
              <w:rPr>
                <w:rFonts w:hint="eastAsia" w:ascii="仿宋" w:hAnsi="仿宋" w:eastAsia="仿宋" w:cs="仿宋"/>
                <w:sz w:val="28"/>
                <w:szCs w:val="28"/>
                <w:lang w:val="en-US" w:eastAsia="zh-CN"/>
              </w:rPr>
              <w:t>否</w:t>
            </w:r>
          </w:p>
        </w:tc>
      </w:tr>
      <w:tr>
        <w:tblPrEx>
          <w:tblCellMar>
            <w:top w:w="15" w:type="dxa"/>
            <w:left w:w="15" w:type="dxa"/>
            <w:bottom w:w="15" w:type="dxa"/>
            <w:right w:w="15" w:type="dxa"/>
          </w:tblCellMar>
        </w:tblPrEx>
        <w:trPr>
          <w:trHeight w:val="8160" w:hRule="atLeast"/>
        </w:trPr>
        <w:tc>
          <w:tcPr>
            <w:tcW w:w="528"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widowControl/>
              <w:spacing w:line="360" w:lineRule="exact"/>
              <w:jc w:val="center"/>
              <w:rPr>
                <w:rFonts w:ascii="仿宋" w:hAnsi="仿宋" w:eastAsia="仿宋" w:cs="仿宋"/>
                <w:sz w:val="28"/>
                <w:szCs w:val="28"/>
              </w:rPr>
            </w:pPr>
          </w:p>
        </w:tc>
        <w:tc>
          <w:tcPr>
            <w:tcW w:w="1913" w:type="dxa"/>
            <w:tcBorders>
              <w:top w:val="single" w:color="auto" w:sz="4" w:space="0"/>
              <w:left w:val="single" w:color="000000" w:sz="2" w:space="0"/>
              <w:bottom w:val="single" w:color="auto" w:sz="4" w:space="0"/>
              <w:right w:val="single" w:color="auto" w:sz="4" w:space="0"/>
            </w:tcBorders>
            <w:tcMar>
              <w:top w:w="0" w:type="dxa"/>
              <w:left w:w="0" w:type="dxa"/>
              <w:bottom w:w="0" w:type="dxa"/>
              <w:right w:w="0" w:type="dxa"/>
            </w:tcMar>
            <w:vAlign w:val="center"/>
          </w:tcPr>
          <w:p>
            <w:pPr>
              <w:widowControl/>
              <w:spacing w:line="360" w:lineRule="exact"/>
              <w:jc w:val="center"/>
              <w:rPr>
                <w:rFonts w:ascii="仿宋_GB2312" w:hAnsi="仿宋_GB2312" w:eastAsia="仿宋_GB2312"/>
                <w:sz w:val="28"/>
                <w:szCs w:val="28"/>
              </w:rPr>
            </w:pPr>
            <w:r>
              <w:rPr>
                <w:rFonts w:hint="eastAsia" w:ascii="仿宋_GB2312" w:hAnsi="仿宋_GB2312" w:eastAsia="仿宋_GB2312"/>
                <w:sz w:val="28"/>
                <w:szCs w:val="28"/>
              </w:rPr>
              <w:t>道路运输证遗失、损毁补（换）发</w:t>
            </w:r>
          </w:p>
        </w:tc>
        <w:tc>
          <w:tcPr>
            <w:tcW w:w="1416" w:type="dxa"/>
            <w:tcBorders>
              <w:top w:val="single" w:color="000000" w:sz="2" w:space="0"/>
              <w:left w:val="single" w:color="auto" w:sz="4" w:space="0"/>
              <w:bottom w:val="single" w:color="000000" w:sz="2" w:space="0"/>
              <w:right w:val="single" w:color="auto" w:sz="4" w:space="0"/>
            </w:tcBorders>
            <w:tcMar>
              <w:top w:w="0" w:type="dxa"/>
              <w:left w:w="0" w:type="dxa"/>
              <w:bottom w:w="0" w:type="dxa"/>
              <w:right w:w="0" w:type="dxa"/>
            </w:tcMar>
            <w:vAlign w:val="center"/>
          </w:tcPr>
          <w:p>
            <w:pPr>
              <w:widowControl/>
              <w:spacing w:line="360" w:lineRule="exact"/>
              <w:ind w:firstLine="280" w:firstLineChars="100"/>
              <w:jc w:val="center"/>
              <w:rPr>
                <w:rFonts w:ascii="仿宋_GB2312" w:hAnsi="仿宋_GB2312" w:eastAsia="仿宋_GB2312"/>
                <w:sz w:val="28"/>
                <w:szCs w:val="28"/>
              </w:rPr>
            </w:pPr>
            <w:r>
              <w:rPr>
                <w:rFonts w:hint="eastAsia" w:ascii="仿宋_GB2312" w:hAnsi="仿宋_GB2312" w:eastAsia="仿宋_GB2312"/>
                <w:sz w:val="28"/>
                <w:szCs w:val="28"/>
              </w:rPr>
              <w:t>公共服务</w:t>
            </w:r>
          </w:p>
        </w:tc>
        <w:tc>
          <w:tcPr>
            <w:tcW w:w="2261" w:type="dxa"/>
            <w:tcBorders>
              <w:top w:val="single" w:color="000000" w:sz="2" w:space="0"/>
              <w:left w:val="single" w:color="auto" w:sz="4" w:space="0"/>
              <w:bottom w:val="single" w:color="000000" w:sz="2" w:space="0"/>
              <w:right w:val="single" w:color="000000" w:sz="2" w:space="0"/>
            </w:tcBorders>
            <w:tcMar>
              <w:top w:w="0" w:type="dxa"/>
              <w:left w:w="0" w:type="dxa"/>
              <w:bottom w:w="0" w:type="dxa"/>
              <w:right w:w="0" w:type="dxa"/>
            </w:tcMar>
            <w:vAlign w:val="center"/>
          </w:tcPr>
          <w:p>
            <w:pPr>
              <w:widowControl/>
              <w:spacing w:line="360" w:lineRule="exact"/>
              <w:rPr>
                <w:rFonts w:ascii="仿宋_GB2312" w:hAnsi="仿宋_GB2312" w:eastAsia="仿宋_GB2312"/>
                <w:sz w:val="28"/>
                <w:szCs w:val="28"/>
              </w:rPr>
            </w:pPr>
            <w:r>
              <w:rPr>
                <w:rFonts w:hint="eastAsia" w:ascii="仿宋_GB2312" w:hAnsi="仿宋_GB2312" w:eastAsia="仿宋_GB2312"/>
                <w:sz w:val="28"/>
                <w:szCs w:val="28"/>
              </w:rPr>
              <w:t>居民身份证，机动车驾驶证，两寸蓝底免冠照片，遗失声明</w:t>
            </w:r>
          </w:p>
        </w:tc>
        <w:tc>
          <w:tcPr>
            <w:tcW w:w="5736"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widowControl/>
              <w:spacing w:line="360" w:lineRule="exact"/>
              <w:rPr>
                <w:rFonts w:ascii="仿宋_GB2312" w:hAnsi="仿宋_GB2312" w:eastAsia="仿宋_GB2312"/>
                <w:sz w:val="28"/>
                <w:szCs w:val="28"/>
              </w:rPr>
            </w:pPr>
            <w:r>
              <w:rPr>
                <w:rFonts w:hint="eastAsia" w:ascii="仿宋_GB2312" w:hAnsi="仿宋_GB2312" w:eastAsia="仿宋_GB2312"/>
                <w:sz w:val="24"/>
                <w:szCs w:val="24"/>
              </w:rPr>
              <w:t>《道路运输管理工作规范》第十四章第三节第三项第一条：</w:t>
            </w:r>
            <w:r>
              <w:rPr>
                <w:rFonts w:ascii="仿宋_GB2312" w:hAnsi="仿宋_GB2312" w:eastAsia="仿宋_GB2312"/>
                <w:sz w:val="24"/>
                <w:szCs w:val="24"/>
              </w:rPr>
              <w:t>1.</w:t>
            </w:r>
            <w:r>
              <w:rPr>
                <w:rFonts w:hint="eastAsia" w:ascii="仿宋_GB2312" w:hAnsi="仿宋_GB2312" w:eastAsia="仿宋_GB2312"/>
                <w:sz w:val="24"/>
                <w:szCs w:val="24"/>
              </w:rPr>
              <w:t>《道路运输证》有效期为</w:t>
            </w:r>
            <w:r>
              <w:rPr>
                <w:rFonts w:ascii="仿宋_GB2312" w:hAnsi="仿宋_GB2312" w:eastAsia="仿宋_GB2312"/>
                <w:sz w:val="24"/>
                <w:szCs w:val="24"/>
              </w:rPr>
              <w:t>3</w:t>
            </w:r>
            <w:r>
              <w:rPr>
                <w:rFonts w:hint="eastAsia" w:ascii="仿宋_GB2312" w:hAnsi="仿宋_GB2312" w:eastAsia="仿宋_GB2312"/>
                <w:sz w:val="24"/>
                <w:szCs w:val="24"/>
              </w:rPr>
              <w:t>年，到期换发，具体换证工作由各省（自治区、直辖市）结合当年的车辆审验工作进行。</w:t>
            </w:r>
            <w:r>
              <w:rPr>
                <w:rFonts w:ascii="仿宋_GB2312" w:hAnsi="仿宋_GB2312" w:eastAsia="仿宋_GB2312"/>
                <w:sz w:val="24"/>
                <w:szCs w:val="24"/>
              </w:rPr>
              <w:t>2.</w:t>
            </w:r>
            <w:r>
              <w:rPr>
                <w:rFonts w:hint="eastAsia" w:ascii="仿宋_GB2312" w:hAnsi="仿宋_GB2312" w:eastAsia="仿宋_GB2312"/>
                <w:sz w:val="24"/>
                <w:szCs w:val="24"/>
              </w:rPr>
              <w:t>《道路运输证》污损的，道路运输经营者向原发证的道路运输管理机构提出换发申请，发证机关应当收回旧证，按原证件编号换发新证。</w:t>
            </w:r>
            <w:r>
              <w:rPr>
                <w:rFonts w:ascii="仿宋_GB2312" w:hAnsi="仿宋_GB2312" w:eastAsia="仿宋_GB2312"/>
                <w:sz w:val="24"/>
                <w:szCs w:val="24"/>
              </w:rPr>
              <w:t>3.</w:t>
            </w:r>
            <w:r>
              <w:rPr>
                <w:rFonts w:hint="eastAsia" w:ascii="仿宋_GB2312" w:hAnsi="仿宋_GB2312" w:eastAsia="仿宋_GB2312"/>
                <w:sz w:val="24"/>
                <w:szCs w:val="24"/>
              </w:rPr>
              <w:t>《道路运输证》灭失的，道路运输经营者应当向原发证机关提出申请，并在所在地报刊刊登遗失声明，无报刊的在运管机构网站刊登遗失声明，发证机关予以补办新证、重新编号，在业户档案及车辆管理档案中注销原证件号码，登记新的号码。</w:t>
            </w:r>
            <w:r>
              <w:rPr>
                <w:rFonts w:ascii="仿宋_GB2312" w:hAnsi="仿宋_GB2312" w:eastAsia="仿宋_GB2312"/>
                <w:sz w:val="24"/>
                <w:szCs w:val="24"/>
              </w:rPr>
              <w:t>4.</w:t>
            </w:r>
            <w:r>
              <w:rPr>
                <w:rFonts w:hint="eastAsia" w:ascii="仿宋_GB2312" w:hAnsi="仿宋_GB2312" w:eastAsia="仿宋_GB2312"/>
                <w:sz w:val="24"/>
                <w:szCs w:val="24"/>
              </w:rPr>
              <w:t>《道路运输证》换发期间，为不影响道路运输经营者的正常经营，由道路运输管理机构留下《道路运输证》主证，凭《道路运输证》副证继续准予运输，并在《道路运输证》副证中注明事由和有效期。有效期最长不得超过</w:t>
            </w:r>
            <w:r>
              <w:rPr>
                <w:rFonts w:ascii="仿宋_GB2312" w:hAnsi="仿宋_GB2312" w:eastAsia="仿宋_GB2312"/>
                <w:sz w:val="24"/>
                <w:szCs w:val="24"/>
              </w:rPr>
              <w:t>1</w:t>
            </w:r>
            <w:r>
              <w:rPr>
                <w:rFonts w:hint="eastAsia" w:ascii="仿宋_GB2312" w:hAnsi="仿宋_GB2312" w:eastAsia="仿宋_GB2312"/>
                <w:sz w:val="24"/>
                <w:szCs w:val="24"/>
              </w:rPr>
              <w:t>个月。</w:t>
            </w:r>
            <w:r>
              <w:rPr>
                <w:rFonts w:ascii="仿宋_GB2312" w:hAnsi="仿宋_GB2312" w:eastAsia="仿宋_GB2312"/>
                <w:sz w:val="24"/>
                <w:szCs w:val="24"/>
              </w:rPr>
              <w:t>5.</w:t>
            </w:r>
            <w:r>
              <w:rPr>
                <w:rFonts w:hint="eastAsia" w:ascii="仿宋_GB2312" w:hAnsi="仿宋_GB2312" w:eastAsia="仿宋_GB2312"/>
                <w:sz w:val="24"/>
                <w:szCs w:val="24"/>
              </w:rPr>
              <w:t>《道路运输证》补发期间，为不影响道路运输经营者的正常经营，由道路运输管理机构留下《道路运输证》主证，凭《道路运输证》副证继续准予运输，并在《道路运输证》副证中注明事由和有效期。有效期最长不得超过</w:t>
            </w:r>
            <w:r>
              <w:rPr>
                <w:rFonts w:ascii="仿宋_GB2312" w:hAnsi="仿宋_GB2312" w:eastAsia="仿宋_GB2312"/>
                <w:sz w:val="24"/>
                <w:szCs w:val="24"/>
              </w:rPr>
              <w:t>1</w:t>
            </w:r>
            <w:r>
              <w:rPr>
                <w:rFonts w:hint="eastAsia" w:ascii="仿宋_GB2312" w:hAnsi="仿宋_GB2312" w:eastAsia="仿宋_GB2312"/>
                <w:sz w:val="24"/>
                <w:szCs w:val="24"/>
              </w:rPr>
              <w:t>个月。</w:t>
            </w:r>
            <w:r>
              <w:rPr>
                <w:rFonts w:ascii="仿宋_GB2312" w:hAnsi="仿宋_GB2312" w:eastAsia="仿宋_GB2312"/>
                <w:sz w:val="24"/>
                <w:szCs w:val="24"/>
              </w:rPr>
              <w:t>6.</w:t>
            </w:r>
            <w:r>
              <w:rPr>
                <w:rFonts w:hint="eastAsia" w:ascii="仿宋_GB2312" w:hAnsi="仿宋_GB2312" w:eastAsia="仿宋_GB2312"/>
                <w:sz w:val="24"/>
                <w:szCs w:val="24"/>
              </w:rPr>
              <w:t>道路运输经营者因违法行为被暂时保存道路运输证》的，车籍地的道路运输管理机构不得为其补办新的道路运输证》</w:t>
            </w:r>
          </w:p>
        </w:tc>
        <w:tc>
          <w:tcPr>
            <w:tcW w:w="105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仿宋" w:hAnsi="仿宋" w:eastAsia="仿宋" w:cs="仿宋"/>
                <w:sz w:val="28"/>
                <w:szCs w:val="28"/>
              </w:rPr>
            </w:pPr>
          </w:p>
        </w:tc>
        <w:tc>
          <w:tcPr>
            <w:tcW w:w="1053" w:type="dxa"/>
            <w:tcBorders>
              <w:top w:val="single" w:color="auto" w:sz="4" w:space="0"/>
              <w:left w:val="single" w:color="000000" w:sz="2" w:space="0"/>
              <w:bottom w:val="single" w:color="auto" w:sz="4"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仿宋" w:hAnsi="仿宋" w:eastAsia="仿宋" w:cs="仿宋"/>
                <w:sz w:val="28"/>
                <w:szCs w:val="28"/>
              </w:rPr>
            </w:pPr>
            <w:r>
              <w:rPr>
                <w:rFonts w:hint="eastAsia" w:ascii="仿宋" w:hAnsi="仿宋" w:eastAsia="仿宋" w:cs="仿宋"/>
                <w:sz w:val="28"/>
                <w:szCs w:val="28"/>
                <w:lang w:eastAsia="zh-CN"/>
              </w:rPr>
              <w:t>保留</w:t>
            </w:r>
          </w:p>
        </w:tc>
        <w:tc>
          <w:tcPr>
            <w:tcW w:w="2174" w:type="dxa"/>
            <w:tcBorders>
              <w:top w:val="single" w:color="auto" w:sz="4" w:space="0"/>
              <w:left w:val="single" w:color="000000" w:sz="2" w:space="0"/>
              <w:bottom w:val="single" w:color="auto" w:sz="4" w:space="0"/>
              <w:right w:val="single" w:color="000000" w:sz="2" w:space="0"/>
            </w:tcBorders>
            <w:vAlign w:val="center"/>
          </w:tcPr>
          <w:p>
            <w:pPr>
              <w:pStyle w:val="3"/>
              <w:widowControl/>
              <w:spacing w:before="0" w:beforeAutospacing="0" w:after="0" w:afterAutospacing="0" w:line="360" w:lineRule="exact"/>
              <w:jc w:val="center"/>
              <w:rPr>
                <w:rFonts w:ascii="仿宋" w:hAnsi="仿宋" w:eastAsia="仿宋" w:cs="仿宋"/>
                <w:sz w:val="28"/>
                <w:szCs w:val="28"/>
              </w:rPr>
            </w:pPr>
            <w:r>
              <w:rPr>
                <w:rFonts w:hint="eastAsia" w:ascii="仿宋" w:hAnsi="仿宋" w:eastAsia="仿宋" w:cs="仿宋"/>
                <w:sz w:val="28"/>
                <w:szCs w:val="28"/>
                <w:lang w:val="en-US" w:eastAsia="zh-CN"/>
              </w:rPr>
              <w:t>否</w:t>
            </w:r>
          </w:p>
        </w:tc>
      </w:tr>
      <w:tr>
        <w:tblPrEx>
          <w:tblCellMar>
            <w:top w:w="15" w:type="dxa"/>
            <w:left w:w="15" w:type="dxa"/>
            <w:bottom w:w="15" w:type="dxa"/>
            <w:right w:w="15" w:type="dxa"/>
          </w:tblCellMar>
        </w:tblPrEx>
        <w:trPr>
          <w:trHeight w:val="552" w:hRule="atLeast"/>
        </w:trPr>
        <w:tc>
          <w:tcPr>
            <w:tcW w:w="528"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widowControl/>
              <w:spacing w:line="360" w:lineRule="exact"/>
              <w:jc w:val="center"/>
              <w:rPr>
                <w:rFonts w:ascii="仿宋" w:hAnsi="仿宋" w:eastAsia="仿宋" w:cs="仿宋"/>
                <w:sz w:val="28"/>
                <w:szCs w:val="28"/>
              </w:rPr>
            </w:pPr>
          </w:p>
        </w:tc>
        <w:tc>
          <w:tcPr>
            <w:tcW w:w="1913" w:type="dxa"/>
            <w:tcBorders>
              <w:top w:val="single" w:color="auto" w:sz="4" w:space="0"/>
              <w:left w:val="single" w:color="000000" w:sz="2" w:space="0"/>
              <w:bottom w:val="single" w:color="auto" w:sz="4" w:space="0"/>
              <w:right w:val="single" w:color="auto" w:sz="4" w:space="0"/>
            </w:tcBorders>
            <w:tcMar>
              <w:top w:w="0" w:type="dxa"/>
              <w:left w:w="0" w:type="dxa"/>
              <w:bottom w:w="0" w:type="dxa"/>
              <w:right w:w="0" w:type="dxa"/>
            </w:tcMar>
            <w:vAlign w:val="center"/>
          </w:tcPr>
          <w:p>
            <w:pPr>
              <w:widowControl/>
              <w:spacing w:line="360" w:lineRule="exact"/>
              <w:jc w:val="center"/>
              <w:rPr>
                <w:rFonts w:ascii="仿宋_GB2312" w:hAnsi="仿宋_GB2312" w:eastAsia="仿宋_GB2312"/>
                <w:sz w:val="28"/>
                <w:szCs w:val="28"/>
              </w:rPr>
            </w:pPr>
            <w:r>
              <w:rPr>
                <w:rFonts w:hint="eastAsia" w:ascii="仿宋_GB2312" w:hAnsi="仿宋_GB2312" w:eastAsia="仿宋_GB2312"/>
                <w:sz w:val="28"/>
                <w:szCs w:val="28"/>
              </w:rPr>
              <w:t>道路运输经营许可证遗失补发</w:t>
            </w:r>
          </w:p>
        </w:tc>
        <w:tc>
          <w:tcPr>
            <w:tcW w:w="1416" w:type="dxa"/>
            <w:tcBorders>
              <w:top w:val="single" w:color="000000" w:sz="2" w:space="0"/>
              <w:left w:val="single" w:color="auto" w:sz="4" w:space="0"/>
              <w:bottom w:val="single" w:color="000000" w:sz="2" w:space="0"/>
              <w:right w:val="single" w:color="auto" w:sz="4" w:space="0"/>
            </w:tcBorders>
            <w:tcMar>
              <w:top w:w="0" w:type="dxa"/>
              <w:left w:w="0" w:type="dxa"/>
              <w:bottom w:w="0" w:type="dxa"/>
              <w:right w:w="0" w:type="dxa"/>
            </w:tcMar>
            <w:vAlign w:val="center"/>
          </w:tcPr>
          <w:p>
            <w:pPr>
              <w:widowControl/>
              <w:spacing w:line="360" w:lineRule="exact"/>
              <w:ind w:firstLine="280" w:firstLineChars="100"/>
              <w:jc w:val="center"/>
              <w:rPr>
                <w:rFonts w:ascii="仿宋_GB2312" w:hAnsi="仿宋_GB2312" w:eastAsia="仿宋_GB2312"/>
                <w:sz w:val="28"/>
                <w:szCs w:val="28"/>
              </w:rPr>
            </w:pPr>
            <w:r>
              <w:rPr>
                <w:rFonts w:hint="eastAsia" w:ascii="仿宋_GB2312" w:hAnsi="仿宋_GB2312" w:eastAsia="仿宋_GB2312"/>
                <w:sz w:val="28"/>
                <w:szCs w:val="28"/>
              </w:rPr>
              <w:t>公共服务</w:t>
            </w:r>
          </w:p>
        </w:tc>
        <w:tc>
          <w:tcPr>
            <w:tcW w:w="2261" w:type="dxa"/>
            <w:tcBorders>
              <w:top w:val="single" w:color="000000" w:sz="2" w:space="0"/>
              <w:left w:val="single" w:color="auto" w:sz="4" w:space="0"/>
              <w:bottom w:val="single" w:color="000000" w:sz="2" w:space="0"/>
              <w:right w:val="single" w:color="000000" w:sz="2" w:space="0"/>
            </w:tcBorders>
            <w:tcMar>
              <w:top w:w="0" w:type="dxa"/>
              <w:left w:w="0" w:type="dxa"/>
              <w:bottom w:w="0" w:type="dxa"/>
              <w:right w:w="0" w:type="dxa"/>
            </w:tcMar>
            <w:vAlign w:val="center"/>
          </w:tcPr>
          <w:p>
            <w:pPr>
              <w:widowControl/>
              <w:spacing w:line="360" w:lineRule="exact"/>
              <w:rPr>
                <w:rFonts w:ascii="仿宋_GB2312" w:hAnsi="仿宋_GB2312" w:eastAsia="仿宋_GB2312"/>
                <w:sz w:val="28"/>
                <w:szCs w:val="28"/>
              </w:rPr>
            </w:pPr>
            <w:r>
              <w:rPr>
                <w:rFonts w:hint="eastAsia" w:ascii="仿宋_GB2312" w:hAnsi="仿宋_GB2312" w:eastAsia="仿宋_GB2312"/>
                <w:sz w:val="28"/>
                <w:szCs w:val="28"/>
              </w:rPr>
              <w:t>道路运输证申领登记表，道路运输经营许可证正本，道路运输经营许可证副本，机动车检测合格证明，经办人身份证明，机动车行驶证，车辆照片，营运车辆技术等级评定结果，罐体质量检测合格证明，从业人员的身份证明</w:t>
            </w:r>
          </w:p>
        </w:tc>
        <w:tc>
          <w:tcPr>
            <w:tcW w:w="5736"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widowControl/>
              <w:spacing w:line="360" w:lineRule="exact"/>
              <w:rPr>
                <w:rFonts w:ascii="仿宋_GB2312" w:hAnsi="仿宋_GB2312" w:eastAsia="仿宋_GB2312"/>
                <w:sz w:val="28"/>
                <w:szCs w:val="28"/>
              </w:rPr>
            </w:pPr>
            <w:r>
              <w:rPr>
                <w:rFonts w:ascii="仿宋_GB2312" w:hAnsi="仿宋_GB2312" w:eastAsia="仿宋_GB2312"/>
                <w:sz w:val="28"/>
                <w:szCs w:val="28"/>
              </w:rPr>
              <w:t>1.</w:t>
            </w:r>
            <w:r>
              <w:rPr>
                <w:rFonts w:hint="eastAsia" w:ascii="仿宋_GB2312" w:hAnsi="仿宋_GB2312" w:eastAsia="仿宋_GB2312"/>
                <w:sz w:val="28"/>
                <w:szCs w:val="28"/>
              </w:rPr>
              <w:t>《道路危险货物运输管理规定》第十三条：被许可人已获得其他道路运输经营许可的，设区的市级道路运输管理机构应当为其换发《道路运输经营许可证》，并在经营范围中加注新许可的事项。如果原《道路运输经营许可证》是由省级道路运输管理机构发放的，由原许可机关按照上述要求予以换发。第二十条　道路危险货物运输企业或者单位需要变更许可事项的，应当向原许可机关提出申请，按照本章有关许可的规定办理。</w:t>
            </w:r>
          </w:p>
        </w:tc>
        <w:tc>
          <w:tcPr>
            <w:tcW w:w="105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hint="eastAsia" w:ascii="仿宋" w:hAnsi="仿宋" w:eastAsia="仿宋" w:cs="仿宋"/>
                <w:sz w:val="28"/>
                <w:szCs w:val="28"/>
                <w:lang w:eastAsia="zh-CN"/>
              </w:rPr>
            </w:pPr>
            <w:r>
              <w:rPr>
                <w:rFonts w:hint="eastAsia" w:ascii="Arial" w:hAnsi="Arial" w:eastAsia="仿宋" w:cs="Arial"/>
                <w:sz w:val="28"/>
                <w:szCs w:val="28"/>
                <w:lang w:val="en-US" w:eastAsia="zh-CN"/>
              </w:rPr>
              <w:t>取消</w:t>
            </w:r>
          </w:p>
        </w:tc>
        <w:tc>
          <w:tcPr>
            <w:tcW w:w="1053" w:type="dxa"/>
            <w:tcBorders>
              <w:top w:val="single" w:color="auto" w:sz="4" w:space="0"/>
              <w:left w:val="single" w:color="000000" w:sz="2" w:space="0"/>
              <w:bottom w:val="single" w:color="auto" w:sz="4" w:space="0"/>
              <w:right w:val="single" w:color="000000" w:sz="2" w:space="0"/>
            </w:tcBorders>
            <w:tcMar>
              <w:top w:w="0" w:type="dxa"/>
              <w:left w:w="0" w:type="dxa"/>
              <w:bottom w:w="0" w:type="dxa"/>
              <w:right w:w="0" w:type="dxa"/>
            </w:tcMar>
            <w:vAlign w:val="center"/>
          </w:tcPr>
          <w:p>
            <w:pPr>
              <w:pStyle w:val="3"/>
              <w:widowControl/>
              <w:spacing w:before="0" w:beforeAutospacing="0" w:after="0" w:afterAutospacing="0" w:line="360" w:lineRule="exact"/>
              <w:jc w:val="center"/>
              <w:rPr>
                <w:rFonts w:ascii="仿宋" w:hAnsi="仿宋" w:eastAsia="仿宋" w:cs="仿宋"/>
                <w:sz w:val="28"/>
                <w:szCs w:val="28"/>
              </w:rPr>
            </w:pPr>
          </w:p>
        </w:tc>
        <w:tc>
          <w:tcPr>
            <w:tcW w:w="2174" w:type="dxa"/>
            <w:tcBorders>
              <w:top w:val="single" w:color="auto" w:sz="4" w:space="0"/>
              <w:left w:val="single" w:color="000000" w:sz="2" w:space="0"/>
              <w:bottom w:val="single" w:color="auto" w:sz="4" w:space="0"/>
              <w:right w:val="single" w:color="000000" w:sz="2" w:space="0"/>
            </w:tcBorders>
            <w:vAlign w:val="center"/>
          </w:tcPr>
          <w:p>
            <w:pPr>
              <w:pStyle w:val="3"/>
              <w:widowControl/>
              <w:spacing w:before="0" w:beforeAutospacing="0" w:after="0" w:afterAutospacing="0" w:line="360" w:lineRule="exact"/>
              <w:jc w:val="center"/>
              <w:rPr>
                <w:rFonts w:ascii="仿宋" w:hAnsi="仿宋" w:eastAsia="仿宋" w:cs="仿宋"/>
                <w:sz w:val="28"/>
                <w:szCs w:val="28"/>
              </w:rPr>
            </w:pPr>
            <w:r>
              <w:rPr>
                <w:rFonts w:hint="eastAsia" w:ascii="仿宋" w:hAnsi="仿宋" w:eastAsia="仿宋" w:cs="仿宋"/>
                <w:sz w:val="28"/>
                <w:szCs w:val="28"/>
                <w:lang w:val="en-US" w:eastAsia="zh-CN"/>
              </w:rPr>
              <w:t>否</w:t>
            </w:r>
          </w:p>
        </w:tc>
      </w:tr>
    </w:tbl>
    <w:p/>
    <w:p/>
    <w:p/>
    <w:p/>
    <w:p/>
    <w:p>
      <w:pPr>
        <w:jc w:val="center"/>
        <w:rPr>
          <w:rFonts w:hint="default" w:ascii="方正小标宋简体" w:hAnsi="方正小标宋简体" w:eastAsia="方正小标宋简体" w:cs="方正小标宋简体"/>
          <w:spacing w:val="7"/>
          <w:kern w:val="0"/>
          <w:sz w:val="44"/>
          <w:szCs w:val="44"/>
          <w:lang w:val="en-US" w:eastAsia="zh-CN"/>
        </w:rPr>
      </w:pPr>
      <w:r>
        <w:rPr>
          <w:rFonts w:hint="eastAsia" w:ascii="方正小标宋简体" w:hAnsi="方正小标宋简体" w:eastAsia="方正小标宋简体" w:cs="方正小标宋简体"/>
          <w:spacing w:val="7"/>
          <w:kern w:val="0"/>
          <w:sz w:val="44"/>
          <w:szCs w:val="44"/>
          <w:lang w:val="en-US" w:eastAsia="zh-CN"/>
        </w:rPr>
        <w:t>潘集区政务服务事项所需证明材料清理结果一览表</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小标宋简体" w:hAnsi="方正小标宋简体" w:eastAsia="方正小标宋简体" w:cs="方正小标宋简体"/>
          <w:spacing w:val="7"/>
          <w:kern w:val="0"/>
          <w:sz w:val="44"/>
          <w:szCs w:val="44"/>
          <w:lang w:val="en-US" w:eastAsia="zh-CN"/>
        </w:rPr>
      </w:pPr>
    </w:p>
    <w:tbl>
      <w:tblPr>
        <w:tblStyle w:val="4"/>
        <w:tblW w:w="16133" w:type="dxa"/>
        <w:tblInd w:w="-1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47"/>
        <w:gridCol w:w="1979"/>
        <w:gridCol w:w="1979"/>
        <w:gridCol w:w="1981"/>
        <w:gridCol w:w="5381"/>
        <w:gridCol w:w="1053"/>
        <w:gridCol w:w="1054"/>
        <w:gridCol w:w="21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4" w:hRule="atLeast"/>
        </w:trPr>
        <w:tc>
          <w:tcPr>
            <w:tcW w:w="547" w:type="dxa"/>
            <w:vMerge w:val="restart"/>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sz w:val="28"/>
                <w:szCs w:val="28"/>
              </w:rPr>
            </w:pPr>
            <w:r>
              <w:rPr>
                <w:rFonts w:hint="eastAsia" w:ascii="黑体" w:hAnsi="黑体" w:eastAsia="黑体" w:cs="黑体"/>
                <w:sz w:val="28"/>
                <w:szCs w:val="28"/>
              </w:rPr>
              <w:t>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sz w:val="28"/>
                <w:szCs w:val="28"/>
              </w:rPr>
            </w:pPr>
            <w:r>
              <w:rPr>
                <w:rFonts w:hint="eastAsia" w:ascii="黑体" w:hAnsi="黑体" w:eastAsia="黑体" w:cs="黑体"/>
                <w:sz w:val="28"/>
                <w:szCs w:val="28"/>
              </w:rPr>
              <w:t>号</w:t>
            </w:r>
          </w:p>
        </w:tc>
        <w:tc>
          <w:tcPr>
            <w:tcW w:w="1979" w:type="dxa"/>
            <w:vMerge w:val="restart"/>
            <w:tcBorders>
              <w:top w:val="single" w:color="000000" w:sz="2" w:space="0"/>
              <w:left w:val="single" w:color="000000" w:sz="2" w:space="0"/>
              <w:right w:val="single" w:color="auto" w:sz="4"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服务事项</w:t>
            </w:r>
          </w:p>
        </w:tc>
        <w:tc>
          <w:tcPr>
            <w:tcW w:w="1979" w:type="dxa"/>
            <w:vMerge w:val="restart"/>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事项类型</w:t>
            </w:r>
          </w:p>
        </w:tc>
        <w:tc>
          <w:tcPr>
            <w:tcW w:w="1981" w:type="dxa"/>
            <w:vMerge w:val="restart"/>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黑体" w:hAnsi="黑体" w:eastAsia="黑体" w:cs="黑体"/>
                <w:sz w:val="28"/>
                <w:szCs w:val="28"/>
                <w:lang w:val="en-US" w:eastAsia="zh-CN"/>
              </w:rPr>
            </w:pPr>
            <w:r>
              <w:rPr>
                <w:rFonts w:hint="eastAsia" w:ascii="黑体" w:hAnsi="黑体" w:eastAsia="黑体" w:cs="黑体"/>
                <w:sz w:val="28"/>
                <w:szCs w:val="28"/>
              </w:rPr>
              <w:t>证明</w:t>
            </w:r>
            <w:r>
              <w:rPr>
                <w:rFonts w:hint="eastAsia" w:ascii="黑体" w:hAnsi="黑体" w:eastAsia="黑体" w:cs="黑体"/>
                <w:sz w:val="28"/>
                <w:szCs w:val="28"/>
                <w:lang w:val="en-US" w:eastAsia="zh-CN"/>
              </w:rPr>
              <w:t>材料</w:t>
            </w:r>
          </w:p>
        </w:tc>
        <w:tc>
          <w:tcPr>
            <w:tcW w:w="5381" w:type="dxa"/>
            <w:vMerge w:val="restart"/>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sz w:val="28"/>
                <w:szCs w:val="28"/>
              </w:rPr>
            </w:pPr>
            <w:r>
              <w:rPr>
                <w:rFonts w:hint="eastAsia" w:ascii="黑体" w:hAnsi="黑体" w:eastAsia="黑体" w:cs="黑体"/>
                <w:sz w:val="28"/>
                <w:szCs w:val="28"/>
              </w:rPr>
              <w:t>设定依据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sz w:val="28"/>
                <w:szCs w:val="28"/>
              </w:rPr>
            </w:pPr>
            <w:r>
              <w:rPr>
                <w:rFonts w:hint="eastAsia" w:ascii="黑体" w:hAnsi="黑体" w:eastAsia="黑体" w:cs="黑体"/>
                <w:sz w:val="28"/>
                <w:szCs w:val="28"/>
              </w:rPr>
              <w:t>（名称、文号</w:t>
            </w:r>
            <w:r>
              <w:rPr>
                <w:rFonts w:hint="eastAsia" w:ascii="黑体" w:hAnsi="黑体" w:eastAsia="黑体" w:cs="黑体"/>
                <w:sz w:val="28"/>
                <w:szCs w:val="28"/>
                <w:lang w:eastAsia="zh-CN"/>
              </w:rPr>
              <w:t>、条款</w:t>
            </w:r>
            <w:r>
              <w:rPr>
                <w:rFonts w:hint="eastAsia" w:ascii="黑体" w:hAnsi="黑体" w:eastAsia="黑体" w:cs="黑体"/>
                <w:sz w:val="28"/>
                <w:szCs w:val="28"/>
              </w:rPr>
              <w:t>）</w:t>
            </w:r>
          </w:p>
        </w:tc>
        <w:tc>
          <w:tcPr>
            <w:tcW w:w="2107" w:type="dxa"/>
            <w:gridSpan w:val="2"/>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sz w:val="28"/>
                <w:szCs w:val="28"/>
              </w:rPr>
            </w:pPr>
            <w:r>
              <w:rPr>
                <w:rFonts w:hint="eastAsia" w:ascii="黑体" w:hAnsi="黑体" w:eastAsia="黑体" w:cs="黑体"/>
                <w:sz w:val="28"/>
                <w:szCs w:val="28"/>
              </w:rPr>
              <w:t>清理意见</w:t>
            </w:r>
          </w:p>
        </w:tc>
        <w:tc>
          <w:tcPr>
            <w:tcW w:w="2159" w:type="dxa"/>
            <w:vMerge w:val="restart"/>
            <w:tcBorders>
              <w:top w:val="single" w:color="000000" w:sz="2" w:space="0"/>
              <w:left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是否适用告知承诺制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trPr>
        <w:tc>
          <w:tcPr>
            <w:tcW w:w="547" w:type="dxa"/>
            <w:vMerge w:val="continue"/>
            <w:tcBorders>
              <w:top w:val="single" w:color="000000" w:sz="2"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黑体" w:hAnsi="黑体" w:eastAsia="黑体" w:cs="黑体"/>
                <w:sz w:val="28"/>
                <w:szCs w:val="28"/>
              </w:rPr>
            </w:pPr>
          </w:p>
        </w:tc>
        <w:tc>
          <w:tcPr>
            <w:tcW w:w="1979" w:type="dxa"/>
            <w:vMerge w:val="continue"/>
            <w:tcBorders>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黑体" w:hAnsi="黑体" w:eastAsia="黑体" w:cs="黑体"/>
                <w:sz w:val="28"/>
                <w:szCs w:val="28"/>
              </w:rPr>
            </w:pPr>
          </w:p>
        </w:tc>
        <w:tc>
          <w:tcPr>
            <w:tcW w:w="1979" w:type="dxa"/>
            <w:vMerge w:val="continue"/>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黑体" w:hAnsi="黑体" w:eastAsia="黑体" w:cs="黑体"/>
                <w:sz w:val="28"/>
                <w:szCs w:val="28"/>
              </w:rPr>
            </w:pPr>
          </w:p>
        </w:tc>
        <w:tc>
          <w:tcPr>
            <w:tcW w:w="1981" w:type="dxa"/>
            <w:vMerge w:val="continue"/>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黑体" w:hAnsi="黑体" w:eastAsia="黑体" w:cs="黑体"/>
                <w:sz w:val="28"/>
                <w:szCs w:val="28"/>
              </w:rPr>
            </w:pPr>
          </w:p>
        </w:tc>
        <w:tc>
          <w:tcPr>
            <w:tcW w:w="5381" w:type="dxa"/>
            <w:vMerge w:val="continue"/>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黑体" w:hAnsi="黑体" w:eastAsia="黑体" w:cs="黑体"/>
                <w:sz w:val="28"/>
                <w:szCs w:val="28"/>
              </w:rPr>
            </w:pP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sz w:val="28"/>
                <w:szCs w:val="28"/>
                <w:lang w:eastAsia="zh-CN"/>
              </w:rPr>
            </w:pPr>
            <w:r>
              <w:rPr>
                <w:rFonts w:hint="eastAsia" w:ascii="黑体" w:hAnsi="黑体" w:eastAsia="黑体" w:cs="黑体"/>
                <w:sz w:val="28"/>
                <w:szCs w:val="28"/>
                <w:lang w:val="en-US" w:eastAsia="zh-CN"/>
              </w:rPr>
              <w:t>取消</w:t>
            </w:r>
          </w:p>
        </w:tc>
        <w:tc>
          <w:tcPr>
            <w:tcW w:w="1054" w:type="dxa"/>
            <w:tcBorders>
              <w:top w:val="single" w:color="000000" w:sz="2"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sz w:val="28"/>
                <w:szCs w:val="28"/>
              </w:rPr>
            </w:pPr>
            <w:r>
              <w:rPr>
                <w:rFonts w:hint="eastAsia" w:ascii="黑体" w:hAnsi="黑体" w:eastAsia="黑体" w:cs="黑体"/>
                <w:sz w:val="28"/>
                <w:szCs w:val="28"/>
              </w:rPr>
              <w:t>保留</w:t>
            </w:r>
          </w:p>
        </w:tc>
        <w:tc>
          <w:tcPr>
            <w:tcW w:w="2159" w:type="dxa"/>
            <w:vMerge w:val="continue"/>
            <w:tcBorders>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trPr>
        <w:tc>
          <w:tcPr>
            <w:tcW w:w="16133" w:type="dxa"/>
            <w:gridSpan w:val="8"/>
            <w:tcBorders>
              <w:top w:val="single" w:color="000000" w:sz="2"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黑体" w:hAnsi="黑体" w:eastAsia="黑体" w:cs="黑体"/>
                <w:sz w:val="28"/>
                <w:szCs w:val="28"/>
                <w:lang w:val="en-US"/>
              </w:rPr>
            </w:pPr>
            <w:r>
              <w:rPr>
                <w:rFonts w:hint="eastAsia" w:ascii="黑体" w:hAnsi="黑体" w:eastAsia="黑体" w:cs="黑体"/>
                <w:sz w:val="28"/>
                <w:szCs w:val="28"/>
                <w:lang w:val="en-US" w:eastAsia="zh-CN"/>
              </w:rPr>
              <w:t>区教育局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67"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tcBorders>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rPr>
              <w:t>民办义务教育、学前教育及其他文化教育学校分立审批</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rPr>
              <w:t>行政许可</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rPr>
              <w:t>办学许可证</w:t>
            </w:r>
            <w:r>
              <w:rPr>
                <w:rFonts w:hint="eastAsia" w:ascii="仿宋" w:hAnsi="仿宋" w:eastAsia="仿宋" w:cs="仿宋"/>
                <w:sz w:val="28"/>
                <w:szCs w:val="28"/>
                <w:lang w:eastAsia="zh-CN"/>
              </w:rPr>
              <w:t>，学校决策机构出具的申请</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sz w:val="21"/>
                <w:szCs w:val="21"/>
              </w:rPr>
              <w:t>中华人民共和国民办教育促进法</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000000" w:sz="2"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保留</w:t>
            </w:r>
          </w:p>
        </w:tc>
        <w:tc>
          <w:tcPr>
            <w:tcW w:w="2159" w:type="dxa"/>
            <w:tcBorders>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60"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tcBorders>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rPr>
              <w:t>民办义务教育、学前教育及其他文化教育学校名称、层次、类别变更审批</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rPr>
              <w:t>行政许可</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rPr>
              <w:t>学校决策机构出具的申请</w:t>
            </w:r>
            <w:r>
              <w:rPr>
                <w:rFonts w:hint="eastAsia" w:ascii="仿宋" w:hAnsi="仿宋" w:eastAsia="仿宋" w:cs="仿宋"/>
                <w:sz w:val="28"/>
                <w:szCs w:val="28"/>
                <w:lang w:eastAsia="zh-CN"/>
              </w:rPr>
              <w:t>，学校决策机构同意变更的决议，过渡期教育教学、学生管理等工作方案</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sz w:val="21"/>
                <w:szCs w:val="21"/>
              </w:rPr>
              <w:t>中华人民共和国民办教育促进法</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000000" w:sz="2"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保留</w:t>
            </w:r>
          </w:p>
        </w:tc>
        <w:tc>
          <w:tcPr>
            <w:tcW w:w="2159" w:type="dxa"/>
            <w:tcBorders>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34"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tcBorders>
              <w:top w:val="single" w:color="auto" w:sz="4" w:space="0"/>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rPr>
              <w:t>民办义务教育、学前教育及其他文化教育学校设立审批</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rPr>
              <w:t>行政许可</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rPr>
              <w:t>经首届决策机构表决通过的学校章程文本</w:t>
            </w:r>
            <w:r>
              <w:rPr>
                <w:rFonts w:hint="eastAsia" w:ascii="仿宋" w:hAnsi="仿宋" w:eastAsia="仿宋" w:cs="仿宋"/>
                <w:sz w:val="28"/>
                <w:szCs w:val="28"/>
                <w:lang w:eastAsia="zh-CN"/>
              </w:rPr>
              <w:t>，民办学校决策机构成员登记表及推选决策机构成员的会议记录，个人举办者、学校决策机构负责人、校长的近3个月内体检表，学校资产的有效证明文件，中小学幼儿园等人员密集场所建设工程抗震设防竣工查验意见书，学校建设工程消防验收合格意见书（单体建筑面积1000平方米以上）</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sz w:val="21"/>
                <w:szCs w:val="21"/>
              </w:rPr>
              <w:t>《中华人民共和国民办教育促进法》第八条：县级以上地方各级人民政府教育行政部门主管本行政区域内的民办教育工作。……</w:t>
            </w:r>
            <w:r>
              <w:rPr>
                <w:rFonts w:hint="eastAsia" w:ascii="仿宋" w:hAnsi="仿宋" w:eastAsia="仿宋" w:cs="仿宋"/>
                <w:sz w:val="21"/>
                <w:szCs w:val="21"/>
              </w:rPr>
              <w:br w:type="textWrapping"/>
            </w:r>
            <w:r>
              <w:rPr>
                <w:rFonts w:hint="eastAsia" w:ascii="仿宋" w:hAnsi="仿宋" w:eastAsia="仿宋" w:cs="仿宋"/>
                <w:sz w:val="21"/>
                <w:szCs w:val="21"/>
              </w:rPr>
              <w:t>第十二条：举办实施学历教育、学前教育、自学考试助学及其他文化教育的民办学校，由县级以上人民政府教育行政部门按照国家规定的权限审批；……</w:t>
            </w:r>
            <w:r>
              <w:rPr>
                <w:rFonts w:hint="eastAsia" w:ascii="仿宋" w:hAnsi="仿宋" w:eastAsia="仿宋" w:cs="仿宋"/>
                <w:sz w:val="21"/>
                <w:szCs w:val="21"/>
              </w:rPr>
              <w:br w:type="textWrapping"/>
            </w:r>
            <w:r>
              <w:rPr>
                <w:rFonts w:hint="eastAsia" w:ascii="仿宋" w:hAnsi="仿宋" w:eastAsia="仿宋" w:cs="仿宋"/>
                <w:sz w:val="21"/>
                <w:szCs w:val="21"/>
              </w:rPr>
              <w:t>第五十三条：民办学校的分立、合并，在进行财务清算后，由学校理事会或者董事会报审批机关批准。</w:t>
            </w:r>
            <w:r>
              <w:rPr>
                <w:rFonts w:hint="eastAsia" w:ascii="仿宋" w:hAnsi="仿宋" w:eastAsia="仿宋" w:cs="仿宋"/>
                <w:sz w:val="21"/>
                <w:szCs w:val="21"/>
              </w:rPr>
              <w:br w:type="textWrapping"/>
            </w:r>
            <w:r>
              <w:rPr>
                <w:rFonts w:hint="eastAsia" w:ascii="仿宋" w:hAnsi="仿宋" w:eastAsia="仿宋" w:cs="仿宋"/>
                <w:sz w:val="21"/>
                <w:szCs w:val="21"/>
              </w:rPr>
              <w:t>第五十四条：民办学校举办者的变更，须由举办者提出，在进行财务清算后，经学校理事会或者董事会同意，报审批机关核准。</w:t>
            </w:r>
            <w:r>
              <w:rPr>
                <w:rFonts w:hint="eastAsia" w:ascii="仿宋" w:hAnsi="仿宋" w:eastAsia="仿宋" w:cs="仿宋"/>
                <w:sz w:val="21"/>
                <w:szCs w:val="21"/>
              </w:rPr>
              <w:br w:type="textWrapping"/>
            </w:r>
            <w:r>
              <w:rPr>
                <w:rFonts w:hint="eastAsia" w:ascii="仿宋" w:hAnsi="仿宋" w:eastAsia="仿宋" w:cs="仿宋"/>
                <w:sz w:val="21"/>
                <w:szCs w:val="21"/>
              </w:rPr>
              <w:t>第五十五条：民办学校名称、层次、类别的变更，由学校理事会或者董事会报审批机关批准。申请变更为其他民办学校，审批机关应当自受理之日起三个月内以书面形式答复；其中申请变更为民办高等学校的，审批机关也可以自受理之日起六个月内以书面形式答复。</w:t>
            </w:r>
            <w:r>
              <w:rPr>
                <w:rFonts w:hint="eastAsia" w:ascii="仿宋" w:hAnsi="仿宋" w:eastAsia="仿宋" w:cs="仿宋"/>
                <w:sz w:val="21"/>
                <w:szCs w:val="21"/>
              </w:rPr>
              <w:br w:type="textWrapping"/>
            </w:r>
            <w:r>
              <w:rPr>
                <w:rFonts w:hint="eastAsia" w:ascii="仿宋" w:hAnsi="仿宋" w:eastAsia="仿宋" w:cs="仿宋"/>
                <w:sz w:val="21"/>
                <w:szCs w:val="21"/>
              </w:rPr>
              <w:t>第五十六条：民办学校有下列情形之一的，应当终止：（一）根据学校章程规定要求终止，并经审批机关批准的；</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000000" w:sz="2"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tcBorders>
              <w:top w:val="single" w:color="auto" w:sz="4" w:space="0"/>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rPr>
              <w:t>民办义务教育、学前教育及其他文化教育学校举办者变更审批</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rPr>
              <w:t>行政许可</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rPr>
              <w:t>新举办者或新任校长资质证明</w:t>
            </w:r>
            <w:r>
              <w:rPr>
                <w:rFonts w:hint="eastAsia" w:ascii="仿宋" w:hAnsi="仿宋" w:eastAsia="仿宋" w:cs="仿宋"/>
                <w:sz w:val="28"/>
                <w:szCs w:val="28"/>
                <w:lang w:eastAsia="zh-CN"/>
              </w:rPr>
              <w:t>，举办权转让协议</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sz w:val="21"/>
                <w:szCs w:val="21"/>
              </w:rPr>
              <w:t>中华人民共和国民办教育促进法</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000000" w:sz="2"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tcBorders>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rPr>
              <w:t>民办义务教育、学前教育及其他文化教育学校终止审批</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rPr>
              <w:t>行政许可</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rPr>
              <w:t>申请报告</w:t>
            </w:r>
            <w:r>
              <w:rPr>
                <w:rFonts w:hint="eastAsia" w:ascii="仿宋" w:hAnsi="仿宋" w:eastAsia="仿宋" w:cs="仿宋"/>
                <w:sz w:val="28"/>
                <w:szCs w:val="28"/>
                <w:lang w:eastAsia="zh-CN"/>
              </w:rPr>
              <w:t>，学校办学许可证和印章</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sz w:val="21"/>
                <w:szCs w:val="21"/>
              </w:rPr>
              <w:t>《中华人民共和国民办教育促进法》第八条：县级以上地方各级人民政府教育行政部门主管本行政区域内的民办教育工作。……</w:t>
            </w:r>
            <w:r>
              <w:rPr>
                <w:rFonts w:hint="eastAsia" w:ascii="仿宋" w:hAnsi="仿宋" w:eastAsia="仿宋" w:cs="仿宋"/>
                <w:sz w:val="21"/>
                <w:szCs w:val="21"/>
              </w:rPr>
              <w:br w:type="textWrapping"/>
            </w:r>
            <w:r>
              <w:rPr>
                <w:rFonts w:hint="eastAsia" w:ascii="仿宋" w:hAnsi="仿宋" w:eastAsia="仿宋" w:cs="仿宋"/>
                <w:sz w:val="21"/>
                <w:szCs w:val="21"/>
              </w:rPr>
              <w:t>第十二条：举办实施学历教育、学前教育、自学考试助学及其他文化教育的民办学校，由县级以上人民政府教育行政部门按照国家规定的权限审批；……</w:t>
            </w:r>
            <w:r>
              <w:rPr>
                <w:rFonts w:hint="eastAsia" w:ascii="仿宋" w:hAnsi="仿宋" w:eastAsia="仿宋" w:cs="仿宋"/>
                <w:sz w:val="21"/>
                <w:szCs w:val="21"/>
              </w:rPr>
              <w:br w:type="textWrapping"/>
            </w:r>
            <w:r>
              <w:rPr>
                <w:rFonts w:hint="eastAsia" w:ascii="仿宋" w:hAnsi="仿宋" w:eastAsia="仿宋" w:cs="仿宋"/>
                <w:sz w:val="21"/>
                <w:szCs w:val="21"/>
              </w:rPr>
              <w:t>第五十三条：民办学校的分立、合并，在进行财务清算后，由学校理事会或者董事会报审批机关批准。</w:t>
            </w:r>
            <w:r>
              <w:rPr>
                <w:rFonts w:hint="eastAsia" w:ascii="仿宋" w:hAnsi="仿宋" w:eastAsia="仿宋" w:cs="仿宋"/>
                <w:sz w:val="21"/>
                <w:szCs w:val="21"/>
              </w:rPr>
              <w:br w:type="textWrapping"/>
            </w:r>
            <w:r>
              <w:rPr>
                <w:rFonts w:hint="eastAsia" w:ascii="仿宋" w:hAnsi="仿宋" w:eastAsia="仿宋" w:cs="仿宋"/>
                <w:sz w:val="21"/>
                <w:szCs w:val="21"/>
              </w:rPr>
              <w:t>第五十四条：民办学校举办者的变更，须由举办者提出，在进行财务清算后，经学校理事会或者董事会同意，报审批机关核准。</w:t>
            </w:r>
            <w:r>
              <w:rPr>
                <w:rFonts w:hint="eastAsia" w:ascii="仿宋" w:hAnsi="仿宋" w:eastAsia="仿宋" w:cs="仿宋"/>
                <w:sz w:val="21"/>
                <w:szCs w:val="21"/>
              </w:rPr>
              <w:br w:type="textWrapping"/>
            </w:r>
            <w:r>
              <w:rPr>
                <w:rFonts w:hint="eastAsia" w:ascii="仿宋" w:hAnsi="仿宋" w:eastAsia="仿宋" w:cs="仿宋"/>
                <w:sz w:val="21"/>
                <w:szCs w:val="21"/>
              </w:rPr>
              <w:t>第五十五条：民办学校名称、层次、类别的变更，由学校理事会或者董事会报审批机关批准。申请变更为其他民办学校，审批机关应当自受理之日起三个月内以书面形式答复；其中申请变更为民办高等学校的，审批机关也可以自受理之日起六个月内以书面形式答复。</w:t>
            </w:r>
            <w:r>
              <w:rPr>
                <w:rFonts w:hint="eastAsia" w:ascii="仿宋" w:hAnsi="仿宋" w:eastAsia="仿宋" w:cs="仿宋"/>
                <w:sz w:val="21"/>
                <w:szCs w:val="21"/>
              </w:rPr>
              <w:br w:type="textWrapping"/>
            </w:r>
            <w:r>
              <w:rPr>
                <w:rFonts w:hint="eastAsia" w:ascii="仿宋" w:hAnsi="仿宋" w:eastAsia="仿宋" w:cs="仿宋"/>
                <w:sz w:val="21"/>
                <w:szCs w:val="21"/>
              </w:rPr>
              <w:t>第五十六条：民办学校有下列情形之一的，应当终止：（一）根据学校章程规定要求终止，并经审批机关批准的</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000000" w:sz="2"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保留</w:t>
            </w:r>
          </w:p>
        </w:tc>
        <w:tc>
          <w:tcPr>
            <w:tcW w:w="2159" w:type="dxa"/>
            <w:tcBorders>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tcBorders>
              <w:top w:val="single" w:color="auto" w:sz="4" w:space="0"/>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rPr>
              <w:t>民办义务教育、学前教育及其他文化教育学校合并审批</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rPr>
              <w:t>行政许可</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1"/>
                <w:szCs w:val="21"/>
              </w:rPr>
              <w:t>拟合并的各学校决策机构出具的申请</w:t>
            </w:r>
            <w:r>
              <w:rPr>
                <w:rFonts w:hint="eastAsia" w:ascii="仿宋" w:hAnsi="仿宋" w:eastAsia="仿宋" w:cs="仿宋"/>
                <w:sz w:val="21"/>
                <w:szCs w:val="21"/>
                <w:lang w:eastAsia="zh-CN"/>
              </w:rPr>
              <w:t>，拟合并的各学校决策机构同意学校合并的决议（附全体组成人员签字的会议记录）</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sz w:val="21"/>
                <w:szCs w:val="21"/>
              </w:rPr>
              <w:t>中华人民共和国民办教育促进法</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60"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tcBorders>
              <w:top w:val="single" w:color="auto" w:sz="4" w:space="0"/>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rPr>
              <w:t>幼儿园、小学和初级中学教师资格认定</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rPr>
              <w:t>行政许可</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rPr>
              <w:t>安徽省教师资格申请人员体检表</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sz w:val="21"/>
                <w:szCs w:val="21"/>
              </w:rPr>
              <w:t>1.《中华人民共和国教师法》第十三条：中小学教师资格由县级以上地方人民政府教育行政部门认定。中等专业学校、技工学校的教师资格由县级以上地方人民政府教育行政部门组织有关主管部门认定。普通高等学校的教师资格由国务院或者省、自治区、直辖市教育行政部门或者由其委托的学校认定。</w:t>
            </w:r>
            <w:r>
              <w:rPr>
                <w:rFonts w:hint="eastAsia" w:ascii="仿宋" w:hAnsi="仿宋" w:eastAsia="仿宋" w:cs="仿宋"/>
                <w:sz w:val="21"/>
                <w:szCs w:val="21"/>
              </w:rPr>
              <w:br w:type="textWrapping"/>
            </w:r>
            <w:r>
              <w:rPr>
                <w:rFonts w:hint="eastAsia" w:ascii="仿宋" w:hAnsi="仿宋" w:eastAsia="仿宋" w:cs="仿宋"/>
                <w:sz w:val="21"/>
                <w:szCs w:val="21"/>
              </w:rPr>
              <w:t>2.《中华人民共和国教师资格条例》第十三条：幼儿园、小学和初级中学教师资格，由申请人户籍所在地或者申请人任教学校所在地的县级人民政府教育行政部门认定。高级中学教师资格，由申请人户籍所在地或者申请人任教学校所在地的县级人民政府教育行政部门审查后，报上一级教育行政部门认定。中等职业学校教师资格和中等职业学校实习指导教师资格，由申请人户籍所在地或者申请人任教学校所在地的县级人民政府教育行政部门审查后，报上一级教育行政部门认定或者组织有关部门认定。</w:t>
            </w:r>
            <w:r>
              <w:rPr>
                <w:rFonts w:hint="eastAsia" w:ascii="仿宋" w:hAnsi="仿宋" w:eastAsia="仿宋" w:cs="仿宋"/>
                <w:sz w:val="21"/>
                <w:szCs w:val="21"/>
              </w:rPr>
              <w:br w:type="textWrapping"/>
            </w:r>
            <w:r>
              <w:rPr>
                <w:rFonts w:hint="eastAsia" w:ascii="仿宋" w:hAnsi="仿宋" w:eastAsia="仿宋" w:cs="仿宋"/>
                <w:sz w:val="21"/>
                <w:szCs w:val="21"/>
              </w:rPr>
              <w:t>3.《安徽省人民政府关于公布省级行政审批项目清理结果的决定》（省政府245号令）附件4第6项高校教师资格的认定：委托本科高校认定。</w:t>
            </w:r>
            <w:r>
              <w:rPr>
                <w:rFonts w:hint="eastAsia" w:ascii="仿宋" w:hAnsi="仿宋" w:eastAsia="仿宋" w:cs="仿宋"/>
                <w:sz w:val="21"/>
                <w:szCs w:val="21"/>
              </w:rPr>
              <w:br w:type="textWrapping"/>
            </w:r>
            <w:r>
              <w:rPr>
                <w:rFonts w:hint="eastAsia" w:ascii="仿宋" w:hAnsi="仿宋" w:eastAsia="仿宋" w:cs="仿宋"/>
                <w:sz w:val="21"/>
                <w:szCs w:val="21"/>
              </w:rPr>
              <w:t>4.《安徽下放民办高职院校独立学院高校教师资格认定权限通知》（皖教秘人〔2013〕20号）全省民办高职院校拟聘教师的高校教师资格一律委托合肥师范学院负责认定；独立学院拟聘教师的高校教师资格委托依托的本科高等学校负责认定。</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tcBorders>
              <w:top w:val="single" w:color="auto" w:sz="4" w:space="0"/>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rPr>
              <w:t>校车使用许可</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rPr>
              <w:t>行政许可</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rPr>
              <w:t>校车使用许可申请审批表</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sz w:val="21"/>
                <w:szCs w:val="21"/>
              </w:rPr>
              <w:t>《校车安全管理条例》（国务院令第617号）第十五条“学校或者校车服务提供者申请取得校车使用许可，应当向县级或者设区的市级人民政府教育行政部门提交书面申请和证明其符合本条例第十四条规定条件的材料。</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tcBorders>
              <w:top w:val="single" w:color="auto" w:sz="4" w:space="0"/>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rPr>
              <w:t>举办健身气功活动及设立站点审批</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eastAsia="zh-CN"/>
              </w:rPr>
              <w:t>行政许可</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rPr>
              <w:t>活动场地管理者同意使用的证明</w:t>
            </w:r>
            <w:r>
              <w:rPr>
                <w:rFonts w:hint="eastAsia" w:ascii="仿宋" w:hAnsi="仿宋" w:eastAsia="仿宋" w:cs="仿宋"/>
                <w:sz w:val="28"/>
                <w:szCs w:val="28"/>
                <w:lang w:eastAsia="zh-CN"/>
              </w:rPr>
              <w:t>，申请书</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sz w:val="21"/>
                <w:szCs w:val="21"/>
              </w:rPr>
              <w:t>办理环节需要</w:t>
            </w:r>
            <w:r>
              <w:rPr>
                <w:rFonts w:hint="eastAsia" w:ascii="仿宋" w:hAnsi="仿宋" w:eastAsia="仿宋" w:cs="仿宋"/>
                <w:sz w:val="21"/>
                <w:szCs w:val="21"/>
                <w:lang w:eastAsia="zh-CN"/>
              </w:rPr>
              <w:t>，《健身气功管理办法》（国家体育总局令2006年第9号</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74"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tcBorders>
              <w:top w:val="single" w:color="auto" w:sz="4" w:space="0"/>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rPr>
              <w:t>学前教育资助服务</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eastAsia="zh-CN"/>
              </w:rPr>
              <w:t>行政给付</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w w:val="80"/>
                <w:sz w:val="21"/>
                <w:szCs w:val="21"/>
              </w:rPr>
              <w:t>学前教育儿童资助申请表</w:t>
            </w:r>
            <w:r>
              <w:rPr>
                <w:rFonts w:hint="eastAsia" w:ascii="仿宋" w:hAnsi="仿宋" w:eastAsia="仿宋" w:cs="仿宋"/>
                <w:w w:val="80"/>
                <w:sz w:val="21"/>
                <w:szCs w:val="21"/>
                <w:lang w:eastAsia="zh-CN"/>
              </w:rPr>
              <w:t>，受助儿童和监护人户口簿，低保家庭儿童须如实提供民政部门发放的《低保证》，孤儿须提供民政部门发放的《儿童福利证》或证明材料，建档立卡家庭儿童须提供《扶贫手册》，残疾儿童。须提供残联发放的《残疾人证》，重点优抚对象家庭子女须提供民政部门出具的重点优抚对象优待证明，因重大疾病、意外灾难等原因影响家庭基本生活的特殊困难家庭儿童，须持有社区（村、居委会）出具的因重大疾病、意外灾难性而致家庭经济困难的证明</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sz w:val="21"/>
                <w:szCs w:val="21"/>
              </w:rPr>
              <w:t>1.《财政部教育部关于建立学前教育资助制度的意见》（财教〔2011〕410号</w:t>
            </w:r>
            <w:r>
              <w:rPr>
                <w:rFonts w:hint="eastAsia" w:ascii="仿宋" w:hAnsi="仿宋" w:eastAsia="仿宋" w:cs="仿宋"/>
                <w:sz w:val="21"/>
                <w:szCs w:val="21"/>
              </w:rPr>
              <w:br w:type="textWrapping"/>
            </w:r>
            <w:r>
              <w:rPr>
                <w:rFonts w:hint="eastAsia" w:ascii="仿宋" w:hAnsi="仿宋" w:eastAsia="仿宋" w:cs="仿宋"/>
                <w:sz w:val="21"/>
                <w:szCs w:val="21"/>
              </w:rPr>
              <w:t>2.《安徽省中央财政支持学前教育发展资金管理办法》</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tcBorders>
              <w:top w:val="single" w:color="auto" w:sz="4" w:space="0"/>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rPr>
              <w:t>普惠性民办幼儿园认定</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eastAsia="zh-CN"/>
              </w:rPr>
              <w:t>其他行政权力</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rPr>
              <w:t>民办非企业法人登记证书</w:t>
            </w:r>
            <w:r>
              <w:rPr>
                <w:rFonts w:hint="eastAsia" w:ascii="仿宋" w:hAnsi="仿宋" w:eastAsia="仿宋" w:cs="仿宋"/>
                <w:sz w:val="28"/>
                <w:szCs w:val="28"/>
                <w:lang w:eastAsia="zh-CN"/>
              </w:rPr>
              <w:t>，食品经营许可证</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sz w:val="21"/>
                <w:szCs w:val="21"/>
              </w:rPr>
              <w:t>《安徽省学前教育条例》（安徽省人民代表大会常务委员会公告第十四号）第十三条：鼓励申办普惠性民办幼儿园。普惠性民办幼儿园由举办者提出申请，县级人民政府教育行政部门根据有关规定予以认定。普惠性民办幼儿园按照规定由政府予以补贴。</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tcBorders>
              <w:top w:val="single" w:color="auto" w:sz="4" w:space="0"/>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rPr>
              <w:t>师范类毕业生档案转递服务</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eastAsia="zh-CN"/>
              </w:rPr>
              <w:t>公共服务</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rPr>
              <w:t>中华人民共和国居民身份证</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sz w:val="21"/>
                <w:szCs w:val="21"/>
              </w:rPr>
              <w:t>1.《流动人员人事档案管理暂行规定》（人发〔1996〕118号）第八条：人才流动服务机构凭符合国家有关政策规定的人员流动的有效文书，向流动人员原单位开具调档函，原单位接到调档函十五天内，将流动人员人事档案随档案转递通知单转交人才交流服务机构。</w:t>
            </w:r>
            <w:r>
              <w:rPr>
                <w:rFonts w:hint="eastAsia" w:ascii="仿宋" w:hAnsi="仿宋" w:eastAsia="仿宋" w:cs="仿宋"/>
                <w:sz w:val="21"/>
                <w:szCs w:val="21"/>
              </w:rPr>
              <w:br w:type="textWrapping"/>
            </w:r>
            <w:r>
              <w:rPr>
                <w:rFonts w:hint="eastAsia" w:ascii="仿宋" w:hAnsi="仿宋" w:eastAsia="仿宋" w:cs="仿宋"/>
                <w:sz w:val="21"/>
                <w:szCs w:val="21"/>
              </w:rPr>
              <w:t>2.省大中专毕业生就业指导中心《关于填报皖籍外省高校毕业生（师范类）档案接收单位的函》（皖教毕指函〔2016〕6号）：为进一步做好皖籍外省高校毕业生（师范类）的档案服务工作……,确保皖籍外省高校毕业生（师范类）档案准确、及时投寄和接收，现请各市、县教育局安排专人，于3月18日前，在线填报相关内容。我们将根据各市、县教育局填报的信息，作为毕业生派遣和档案寄送的依据。</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tcBorders>
              <w:top w:val="single" w:color="auto" w:sz="4" w:space="0"/>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rPr>
              <w:t>义务教育阶段贫困寄宿生生活补助发放</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eastAsia="zh-CN"/>
              </w:rPr>
              <w:t>公共服务</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rPr>
              <w:t>义务教育阶段贫困寄宿生生活费补助发放申请表</w:t>
            </w:r>
            <w:r>
              <w:rPr>
                <w:rFonts w:hint="eastAsia" w:ascii="仿宋" w:hAnsi="仿宋" w:eastAsia="仿宋" w:cs="仿宋"/>
                <w:sz w:val="28"/>
                <w:szCs w:val="28"/>
                <w:lang w:eastAsia="zh-CN"/>
              </w:rPr>
              <w:t>，学生家庭经济情况证明</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sz w:val="21"/>
                <w:szCs w:val="21"/>
              </w:rPr>
              <w:t>《安徽省义务教育阶段学校家庭经济困难寄宿生生活费补助管理暂行办法》的通知（皖教财〔2014〕4号）第八条 生活费补助每学期申请、评定和发放一次。每学期开学一周内，学校组织家庭经济困难寄宿生提交经所在乡（镇、街道）、行政村（社区）盖章确认的生活费补助申请表及相关证明材料；并在收齐学生申请表及相关证明材料后10个工作日内，按照公开、公平、公正原则，完成对申请学生的评审认定工作；</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tcBorders>
              <w:top w:val="single" w:color="auto" w:sz="4" w:space="0"/>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rPr>
              <w:t>中考政策加分核实</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eastAsia="zh-CN"/>
              </w:rPr>
              <w:t>公共服务</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rPr>
              <w:t>户口簿</w:t>
            </w:r>
            <w:r>
              <w:rPr>
                <w:rFonts w:hint="eastAsia" w:ascii="仿宋" w:hAnsi="仿宋" w:eastAsia="仿宋" w:cs="仿宋"/>
                <w:sz w:val="28"/>
                <w:szCs w:val="28"/>
                <w:lang w:eastAsia="zh-CN"/>
              </w:rPr>
              <w:t>、</w:t>
            </w:r>
            <w:r>
              <w:rPr>
                <w:rFonts w:hint="eastAsia" w:ascii="仿宋" w:hAnsi="仿宋" w:eastAsia="仿宋" w:cs="仿宋"/>
                <w:sz w:val="28"/>
                <w:szCs w:val="28"/>
              </w:rPr>
              <w:t>准考证</w:t>
            </w:r>
            <w:r>
              <w:rPr>
                <w:rFonts w:hint="eastAsia" w:ascii="仿宋" w:hAnsi="仿宋" w:eastAsia="仿宋" w:cs="仿宋"/>
                <w:sz w:val="28"/>
                <w:szCs w:val="28"/>
                <w:lang w:eastAsia="zh-CN"/>
              </w:rPr>
              <w:t>、申请，加分证明材料</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b w:val="0"/>
                <w:bCs w:val="0"/>
                <w:i w:val="0"/>
                <w:caps w:val="0"/>
                <w:color w:val="000000" w:themeColor="text1"/>
                <w:spacing w:val="0"/>
                <w:sz w:val="21"/>
                <w:szCs w:val="21"/>
                <w:shd w:val="clear" w:fill="FFFFFF"/>
                <w14:textFill>
                  <w14:solidFill>
                    <w14:schemeClr w14:val="tx1"/>
                  </w14:solidFill>
                </w14:textFill>
              </w:rPr>
              <w:t>《安徽省教育厅关于做好2016年普通高中招生有关工作的通知》（皖教秘基〔2016〕25号）：四、严格控制政策性加分。各地要进一步清理有违公平公正原则的中考加分政策，除以下加分政策外，其他政策性加分项目一律取消。1．《安徽省实施〈中华人民共和国归侨侨眷权益保护法〉办法》所规定的加分对象和标准；2．台湾籍考生在其中考成绩基础上增加10分投档；3．烈士子女考生在其中考成绩基础上增加10分投档；4．少数民族考生在其中考成绩基础上增加5分投档；5．援疆和援藏人员子女，在其中考成绩上增加10分投档；6．其他军人子女考生加分按照《安徽省教育厅安徽省军区政治部转发教育部办公厅总政治部干部部关于进一步贯彻实施〈军人子女教育优待办法〉的通知》（皖教秘基〔2013〕57号）要求执行。</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tcBorders>
              <w:top w:val="single" w:color="auto" w:sz="4" w:space="0"/>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rPr>
              <w:t>中等职业学校免学费申请办理</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eastAsia="zh-CN"/>
              </w:rPr>
              <w:t>公共服务</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rPr>
              <w:t>安徽省中等职业学校国家免学费申请表</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b/>
                <w:bCs/>
                <w:i w:val="0"/>
                <w:caps w:val="0"/>
                <w:color w:val="606266"/>
                <w:spacing w:val="0"/>
                <w:kern w:val="2"/>
                <w:sz w:val="21"/>
                <w:szCs w:val="21"/>
                <w:shd w:val="clear" w:fill="FFFFFF"/>
                <w:lang w:val="en-US" w:eastAsia="zh-CN" w:bidi="ar-SA"/>
              </w:rPr>
            </w:pPr>
            <w:r>
              <w:rPr>
                <w:rFonts w:hint="eastAsia" w:ascii="仿宋" w:hAnsi="仿宋" w:eastAsia="仿宋" w:cs="仿宋"/>
                <w:sz w:val="21"/>
                <w:szCs w:val="21"/>
              </w:rPr>
              <w:t>《安徽省</w:t>
            </w:r>
            <w:r>
              <w:rPr>
                <w:rFonts w:hint="eastAsia" w:ascii="仿宋" w:hAnsi="仿宋" w:eastAsia="仿宋" w:cs="仿宋"/>
                <w:sz w:val="21"/>
                <w:szCs w:val="21"/>
                <w:lang w:eastAsia="zh-CN"/>
              </w:rPr>
              <w:t>中等职业学校免学费补助资金管理实施细则</w:t>
            </w:r>
            <w:r>
              <w:rPr>
                <w:rFonts w:hint="eastAsia" w:ascii="仿宋" w:hAnsi="仿宋" w:eastAsia="仿宋" w:cs="仿宋"/>
                <w:sz w:val="21"/>
                <w:szCs w:val="21"/>
              </w:rPr>
              <w:t>》</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47"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tcBorders>
              <w:top w:val="single" w:color="auto" w:sz="4" w:space="0"/>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rPr>
              <w:t>农村原民办教师身份和教龄认定材料核实转报</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eastAsia="zh-CN"/>
              </w:rPr>
              <w:t>公共服务</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w w:val="80"/>
                <w:sz w:val="21"/>
                <w:szCs w:val="21"/>
              </w:rPr>
              <w:t>安徽省农村原民办教师教龄补助申请表</w:t>
            </w:r>
            <w:r>
              <w:rPr>
                <w:rFonts w:hint="eastAsia" w:ascii="仿宋" w:hAnsi="仿宋" w:eastAsia="仿宋" w:cs="仿宋"/>
                <w:w w:val="80"/>
                <w:sz w:val="21"/>
                <w:szCs w:val="21"/>
                <w:lang w:eastAsia="zh-CN"/>
              </w:rPr>
              <w:t>，中华人民共和国居民户口簿，中华人民共和国居民身份证，申请人承诺书，未曾被企事业单位录用证明，无刑事犯罪情况证明，无违反国家政策、规定被开除或辞退证明，证人承诺书，证人证词</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sz w:val="21"/>
                <w:szCs w:val="21"/>
              </w:rPr>
              <w:t>《安徽省农村原民办教师身份和教龄认定工作实施细则》第五章第十一条</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tcBorders>
              <w:top w:val="single" w:color="auto" w:sz="4" w:space="0"/>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rPr>
              <w:t>义务教育学校学生学籍变动办理</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eastAsia="zh-CN"/>
              </w:rPr>
              <w:t>公共服务</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rPr>
              <w:t>中华人民共和国居民户口簿</w:t>
            </w:r>
            <w:r>
              <w:rPr>
                <w:rFonts w:hint="eastAsia" w:ascii="仿宋" w:hAnsi="仿宋" w:eastAsia="仿宋" w:cs="仿宋"/>
                <w:sz w:val="28"/>
                <w:szCs w:val="28"/>
                <w:lang w:eastAsia="zh-CN"/>
              </w:rPr>
              <w:t>，学籍变动证明材料，申请书</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sz w:val="21"/>
                <w:szCs w:val="21"/>
              </w:rPr>
              <w:t>《安徽省中小学生学籍信息化管理办法》（皖教基〔2013〕20号）</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tcBorders>
              <w:top w:val="single" w:color="auto" w:sz="4" w:space="0"/>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rPr>
              <w:t>中考理科实验免考核实</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eastAsia="zh-CN"/>
              </w:rPr>
              <w:t>公共服务</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rPr>
              <w:t>中华人民共和国居民身份证</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sz w:val="21"/>
                <w:szCs w:val="21"/>
              </w:rPr>
              <w:t>安徽省教育厅关于做好2016年初中毕业升学理科实验操作考试工作的通知》：十、免考规定因肢残丧失实验操作能力或因伤病等特殊情况不能参加本次考试的学生，须持相关证明和书面申请，经所在学校和考试主办部门核批后方可予以免考。（每年均发文开展工作）</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tcBorders>
              <w:top w:val="single" w:color="auto" w:sz="4" w:space="0"/>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rPr>
              <w:t>普通高校招生考试加分材料核实转报</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eastAsia="zh-CN"/>
              </w:rPr>
              <w:t>公共服务</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w w:val="90"/>
                <w:sz w:val="24"/>
                <w:szCs w:val="24"/>
              </w:rPr>
              <w:t>烈士证书</w:t>
            </w:r>
            <w:r>
              <w:rPr>
                <w:rFonts w:hint="eastAsia" w:ascii="仿宋" w:hAnsi="仿宋" w:eastAsia="仿宋" w:cs="仿宋"/>
                <w:w w:val="90"/>
                <w:sz w:val="24"/>
                <w:szCs w:val="24"/>
                <w:lang w:eastAsia="zh-CN"/>
              </w:rPr>
              <w:t>，本人与父（母）的关系证明，华侨或外籍华人身份证明，自主就业退役士兵（含退役士兵）证明，退役军人荣誉证书，重大国际体育比赛集体或个人项目前6名、全国性体育比赛个人项目前6名，国家二级运动员（含）以上称号，中学生学科奥林匹克竞赛加分项目，归侨证，父（母）的归侨证</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w w:val="80"/>
                <w:sz w:val="21"/>
                <w:szCs w:val="21"/>
              </w:rPr>
              <w:t>按照安徽省教育厅 安徽省民委 安徽省公安厅 安徽省体育局 安徽省科协《关于印发安徽省调整和规范高考加分工作实施方案的通知》（皖教办〔2015〕32号，以下简称“《安徽省调整和规范高考加分工作实施方案》”）要求，我省高考加分项目及分值如下：</w:t>
            </w:r>
            <w:r>
              <w:rPr>
                <w:rFonts w:hint="eastAsia" w:ascii="仿宋" w:hAnsi="仿宋" w:eastAsia="仿宋" w:cs="仿宋"/>
                <w:w w:val="80"/>
                <w:sz w:val="21"/>
                <w:szCs w:val="21"/>
              </w:rPr>
              <w:br w:type="textWrapping"/>
            </w:r>
            <w:r>
              <w:rPr>
                <w:rFonts w:hint="eastAsia" w:ascii="仿宋" w:hAnsi="仿宋" w:eastAsia="仿宋" w:cs="仿宋"/>
                <w:w w:val="80"/>
                <w:sz w:val="21"/>
                <w:szCs w:val="21"/>
              </w:rPr>
              <w:t>1.全国性加分项目4项。即烈士子女（10分），归侨、华侨子女、归侨子女和台湾省籍考生（10分），自主就业退役士兵（10分），在服役期间荣立二等功（含）以上或被大军区（含）以上单位授予荣誉称号的退役军人（20分）。</w:t>
            </w:r>
            <w:r>
              <w:rPr>
                <w:rFonts w:hint="eastAsia" w:ascii="仿宋" w:hAnsi="仿宋" w:eastAsia="仿宋" w:cs="仿宋"/>
                <w:w w:val="80"/>
                <w:sz w:val="21"/>
                <w:szCs w:val="21"/>
              </w:rPr>
              <w:br w:type="textWrapping"/>
            </w:r>
            <w:r>
              <w:rPr>
                <w:rFonts w:hint="eastAsia" w:ascii="仿宋" w:hAnsi="仿宋" w:eastAsia="仿宋" w:cs="仿宋"/>
                <w:w w:val="80"/>
                <w:sz w:val="21"/>
                <w:szCs w:val="21"/>
              </w:rPr>
              <w:t>2.地方性加分项目2项。即侨眷、港澳同胞及其眷属（5分），少数民族聚居地区少数民族考生（我省享受高考政策加分的少数民族聚居地区名单详见《安徽省调整和规范高考加分工作实施方案》）（5分）。</w:t>
            </w:r>
            <w:r>
              <w:rPr>
                <w:rFonts w:hint="eastAsia" w:ascii="仿宋" w:hAnsi="仿宋" w:eastAsia="仿宋" w:cs="仿宋"/>
                <w:w w:val="80"/>
                <w:sz w:val="21"/>
                <w:szCs w:val="21"/>
              </w:rPr>
              <w:br w:type="textWrapping"/>
            </w:r>
            <w:r>
              <w:rPr>
                <w:rFonts w:hint="eastAsia" w:ascii="仿宋" w:hAnsi="仿宋" w:eastAsia="仿宋" w:cs="仿宋"/>
                <w:w w:val="80"/>
                <w:sz w:val="21"/>
                <w:szCs w:val="21"/>
              </w:rPr>
              <w:t>3.因病或其他特殊情况在高中阶段办理休学手续后复学的应届考生，2015年1月1日之前在高级中等教育阶段取得体育特长生加分项目、中学生学科奥林匹克竞赛加分项目、科技类竞赛加分项目、思想政治品德有突出事迹加分项目（各加分项目具体要求详见《安徽省调整和规范高考加分工作实施方案》），仍具有加分资格，加分分值为5分。</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tcBorders>
              <w:top w:val="single" w:color="auto" w:sz="4" w:space="0"/>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rPr>
              <w:t>国民体质测试服务</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eastAsia="zh-CN"/>
              </w:rPr>
              <w:t>公共服务</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rPr>
              <w:t>中华人民共和国居民身份证</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sz w:val="21"/>
                <w:szCs w:val="21"/>
              </w:rPr>
              <w:t>《安徽省全民健身实施计划》第三十九条：从事国民体质测定的单位，应当具备国家规定的资质条件。对公民进行体质测定时，应当按照国家体质测定标准规范操作，为被测试者提供测定结果，对个人测定结果保密，并给予科学健身指导。</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否</w:t>
            </w:r>
          </w:p>
        </w:tc>
      </w:tr>
    </w:tbl>
    <w:p/>
    <w:p/>
    <w:p/>
    <w:p/>
    <w:p/>
    <w:p/>
    <w:p/>
    <w:p/>
    <w:p/>
    <w:p/>
    <w:p/>
    <w:p>
      <w:pPr>
        <w:jc w:val="center"/>
        <w:rPr>
          <w:rFonts w:hint="default" w:ascii="方正小标宋简体" w:hAnsi="方正小标宋简体" w:eastAsia="方正小标宋简体" w:cs="方正小标宋简体"/>
          <w:spacing w:val="7"/>
          <w:kern w:val="0"/>
          <w:sz w:val="44"/>
          <w:szCs w:val="44"/>
          <w:lang w:val="en-US" w:eastAsia="zh-CN"/>
        </w:rPr>
      </w:pPr>
      <w:r>
        <w:rPr>
          <w:rFonts w:hint="eastAsia" w:ascii="方正小标宋简体" w:hAnsi="方正小标宋简体" w:eastAsia="方正小标宋简体" w:cs="方正小标宋简体"/>
          <w:spacing w:val="7"/>
          <w:kern w:val="0"/>
          <w:sz w:val="44"/>
          <w:szCs w:val="44"/>
          <w:lang w:val="en-US" w:eastAsia="zh-CN"/>
        </w:rPr>
        <w:t>潘集区政务服务事项所需证明材料清理结果一览表</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小标宋简体" w:hAnsi="方正小标宋简体" w:eastAsia="方正小标宋简体" w:cs="方正小标宋简体"/>
          <w:spacing w:val="7"/>
          <w:kern w:val="0"/>
          <w:sz w:val="44"/>
          <w:szCs w:val="44"/>
          <w:lang w:val="en-US" w:eastAsia="zh-CN"/>
        </w:rPr>
      </w:pPr>
    </w:p>
    <w:tbl>
      <w:tblPr>
        <w:tblStyle w:val="4"/>
        <w:tblW w:w="16133" w:type="dxa"/>
        <w:tblInd w:w="-1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47"/>
        <w:gridCol w:w="1979"/>
        <w:gridCol w:w="1979"/>
        <w:gridCol w:w="1981"/>
        <w:gridCol w:w="5381"/>
        <w:gridCol w:w="1053"/>
        <w:gridCol w:w="1054"/>
        <w:gridCol w:w="21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4" w:hRule="atLeast"/>
        </w:trPr>
        <w:tc>
          <w:tcPr>
            <w:tcW w:w="547" w:type="dxa"/>
            <w:vMerge w:val="restart"/>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sz w:val="28"/>
                <w:szCs w:val="28"/>
              </w:rPr>
            </w:pPr>
            <w:r>
              <w:rPr>
                <w:rFonts w:hint="eastAsia" w:ascii="黑体" w:hAnsi="黑体" w:eastAsia="黑体" w:cs="黑体"/>
                <w:sz w:val="28"/>
                <w:szCs w:val="28"/>
              </w:rPr>
              <w:t>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sz w:val="28"/>
                <w:szCs w:val="28"/>
              </w:rPr>
            </w:pPr>
            <w:r>
              <w:rPr>
                <w:rFonts w:hint="eastAsia" w:ascii="黑体" w:hAnsi="黑体" w:eastAsia="黑体" w:cs="黑体"/>
                <w:sz w:val="28"/>
                <w:szCs w:val="28"/>
              </w:rPr>
              <w:t>号</w:t>
            </w:r>
          </w:p>
        </w:tc>
        <w:tc>
          <w:tcPr>
            <w:tcW w:w="1979" w:type="dxa"/>
            <w:vMerge w:val="restart"/>
            <w:tcBorders>
              <w:top w:val="single" w:color="000000" w:sz="2" w:space="0"/>
              <w:left w:val="single" w:color="000000" w:sz="2" w:space="0"/>
              <w:right w:val="single" w:color="auto" w:sz="4"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服务事项</w:t>
            </w:r>
          </w:p>
        </w:tc>
        <w:tc>
          <w:tcPr>
            <w:tcW w:w="1979" w:type="dxa"/>
            <w:vMerge w:val="restart"/>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事项类型</w:t>
            </w:r>
          </w:p>
        </w:tc>
        <w:tc>
          <w:tcPr>
            <w:tcW w:w="1981" w:type="dxa"/>
            <w:vMerge w:val="restart"/>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黑体" w:hAnsi="黑体" w:eastAsia="黑体" w:cs="黑体"/>
                <w:sz w:val="28"/>
                <w:szCs w:val="28"/>
                <w:lang w:val="en-US" w:eastAsia="zh-CN"/>
              </w:rPr>
            </w:pPr>
            <w:r>
              <w:rPr>
                <w:rFonts w:hint="eastAsia" w:ascii="黑体" w:hAnsi="黑体" w:eastAsia="黑体" w:cs="黑体"/>
                <w:sz w:val="28"/>
                <w:szCs w:val="28"/>
              </w:rPr>
              <w:t>证明</w:t>
            </w:r>
            <w:r>
              <w:rPr>
                <w:rFonts w:hint="eastAsia" w:ascii="黑体" w:hAnsi="黑体" w:eastAsia="黑体" w:cs="黑体"/>
                <w:sz w:val="28"/>
                <w:szCs w:val="28"/>
                <w:lang w:val="en-US" w:eastAsia="zh-CN"/>
              </w:rPr>
              <w:t>材料</w:t>
            </w:r>
          </w:p>
        </w:tc>
        <w:tc>
          <w:tcPr>
            <w:tcW w:w="5381" w:type="dxa"/>
            <w:vMerge w:val="restart"/>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sz w:val="28"/>
                <w:szCs w:val="28"/>
              </w:rPr>
            </w:pPr>
            <w:r>
              <w:rPr>
                <w:rFonts w:hint="eastAsia" w:ascii="黑体" w:hAnsi="黑体" w:eastAsia="黑体" w:cs="黑体"/>
                <w:sz w:val="28"/>
                <w:szCs w:val="28"/>
              </w:rPr>
              <w:t>设定依据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sz w:val="28"/>
                <w:szCs w:val="28"/>
              </w:rPr>
            </w:pPr>
            <w:r>
              <w:rPr>
                <w:rFonts w:hint="eastAsia" w:ascii="黑体" w:hAnsi="黑体" w:eastAsia="黑体" w:cs="黑体"/>
                <w:sz w:val="28"/>
                <w:szCs w:val="28"/>
              </w:rPr>
              <w:t>（名称、文号</w:t>
            </w:r>
            <w:r>
              <w:rPr>
                <w:rFonts w:hint="eastAsia" w:ascii="黑体" w:hAnsi="黑体" w:eastAsia="黑体" w:cs="黑体"/>
                <w:sz w:val="28"/>
                <w:szCs w:val="28"/>
                <w:lang w:eastAsia="zh-CN"/>
              </w:rPr>
              <w:t>、条款</w:t>
            </w:r>
            <w:r>
              <w:rPr>
                <w:rFonts w:hint="eastAsia" w:ascii="黑体" w:hAnsi="黑体" w:eastAsia="黑体" w:cs="黑体"/>
                <w:sz w:val="28"/>
                <w:szCs w:val="28"/>
              </w:rPr>
              <w:t>）</w:t>
            </w:r>
          </w:p>
        </w:tc>
        <w:tc>
          <w:tcPr>
            <w:tcW w:w="2107" w:type="dxa"/>
            <w:gridSpan w:val="2"/>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sz w:val="28"/>
                <w:szCs w:val="28"/>
              </w:rPr>
            </w:pPr>
            <w:r>
              <w:rPr>
                <w:rFonts w:hint="eastAsia" w:ascii="黑体" w:hAnsi="黑体" w:eastAsia="黑体" w:cs="黑体"/>
                <w:sz w:val="28"/>
                <w:szCs w:val="28"/>
              </w:rPr>
              <w:t>清理意见</w:t>
            </w:r>
          </w:p>
        </w:tc>
        <w:tc>
          <w:tcPr>
            <w:tcW w:w="2159" w:type="dxa"/>
            <w:vMerge w:val="restart"/>
            <w:tcBorders>
              <w:top w:val="single" w:color="000000" w:sz="2" w:space="0"/>
              <w:left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是否适用告知承诺制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trPr>
        <w:tc>
          <w:tcPr>
            <w:tcW w:w="547" w:type="dxa"/>
            <w:vMerge w:val="continue"/>
            <w:tcBorders>
              <w:top w:val="single" w:color="000000" w:sz="2"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黑体" w:hAnsi="黑体" w:eastAsia="黑体" w:cs="黑体"/>
                <w:sz w:val="28"/>
                <w:szCs w:val="28"/>
              </w:rPr>
            </w:pPr>
          </w:p>
        </w:tc>
        <w:tc>
          <w:tcPr>
            <w:tcW w:w="1979" w:type="dxa"/>
            <w:vMerge w:val="continue"/>
            <w:tcBorders>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黑体" w:hAnsi="黑体" w:eastAsia="黑体" w:cs="黑体"/>
                <w:sz w:val="28"/>
                <w:szCs w:val="28"/>
              </w:rPr>
            </w:pPr>
          </w:p>
        </w:tc>
        <w:tc>
          <w:tcPr>
            <w:tcW w:w="1979" w:type="dxa"/>
            <w:vMerge w:val="continue"/>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黑体" w:hAnsi="黑体" w:eastAsia="黑体" w:cs="黑体"/>
                <w:sz w:val="28"/>
                <w:szCs w:val="28"/>
              </w:rPr>
            </w:pPr>
          </w:p>
        </w:tc>
        <w:tc>
          <w:tcPr>
            <w:tcW w:w="1981" w:type="dxa"/>
            <w:vMerge w:val="continue"/>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黑体" w:hAnsi="黑体" w:eastAsia="黑体" w:cs="黑体"/>
                <w:sz w:val="28"/>
                <w:szCs w:val="28"/>
              </w:rPr>
            </w:pPr>
          </w:p>
        </w:tc>
        <w:tc>
          <w:tcPr>
            <w:tcW w:w="5381" w:type="dxa"/>
            <w:vMerge w:val="continue"/>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黑体" w:hAnsi="黑体" w:eastAsia="黑体" w:cs="黑体"/>
                <w:sz w:val="28"/>
                <w:szCs w:val="28"/>
              </w:rPr>
            </w:pP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sz w:val="28"/>
                <w:szCs w:val="28"/>
                <w:lang w:eastAsia="zh-CN"/>
              </w:rPr>
            </w:pPr>
            <w:r>
              <w:rPr>
                <w:rFonts w:hint="eastAsia" w:ascii="黑体" w:hAnsi="黑体" w:eastAsia="黑体" w:cs="黑体"/>
                <w:sz w:val="28"/>
                <w:szCs w:val="28"/>
                <w:lang w:val="en-US" w:eastAsia="zh-CN"/>
              </w:rPr>
              <w:t>取消</w:t>
            </w:r>
          </w:p>
        </w:tc>
        <w:tc>
          <w:tcPr>
            <w:tcW w:w="1054" w:type="dxa"/>
            <w:tcBorders>
              <w:top w:val="single" w:color="000000" w:sz="2"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sz w:val="28"/>
                <w:szCs w:val="28"/>
              </w:rPr>
            </w:pPr>
            <w:r>
              <w:rPr>
                <w:rFonts w:hint="eastAsia" w:ascii="黑体" w:hAnsi="黑体" w:eastAsia="黑体" w:cs="黑体"/>
                <w:sz w:val="28"/>
                <w:szCs w:val="28"/>
              </w:rPr>
              <w:t>保留</w:t>
            </w:r>
          </w:p>
        </w:tc>
        <w:tc>
          <w:tcPr>
            <w:tcW w:w="2159" w:type="dxa"/>
            <w:vMerge w:val="continue"/>
            <w:tcBorders>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trPr>
        <w:tc>
          <w:tcPr>
            <w:tcW w:w="16133" w:type="dxa"/>
            <w:gridSpan w:val="8"/>
            <w:tcBorders>
              <w:top w:val="single" w:color="000000" w:sz="2"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黑体" w:hAnsi="黑体" w:eastAsia="黑体" w:cs="黑体"/>
                <w:sz w:val="28"/>
                <w:szCs w:val="28"/>
                <w:lang w:val="en-US"/>
              </w:rPr>
            </w:pPr>
            <w:r>
              <w:rPr>
                <w:rFonts w:hint="eastAsia" w:ascii="黑体" w:hAnsi="黑体" w:eastAsia="黑体" w:cs="黑体"/>
                <w:sz w:val="28"/>
                <w:szCs w:val="28"/>
                <w:lang w:val="en-US" w:eastAsia="zh-CN"/>
              </w:rPr>
              <w:t>区卫生健康委员会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tcBorders>
              <w:top w:val="single" w:color="auto" w:sz="4" w:space="0"/>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sz w:val="28"/>
                <w:szCs w:val="28"/>
                <w:lang w:eastAsia="zh-CN"/>
              </w:rPr>
              <w:t>公共场所卫生许可</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280" w:firstLineChars="1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val="en-US" w:eastAsia="zh-CN"/>
              </w:rPr>
              <w:t>行政许可</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w w:val="70"/>
                <w:kern w:val="2"/>
                <w:sz w:val="28"/>
                <w:szCs w:val="28"/>
                <w:lang w:val="en-US" w:eastAsia="zh-CN" w:bidi="ar-SA"/>
              </w:rPr>
            </w:pPr>
            <w:r>
              <w:rPr>
                <w:rFonts w:hint="eastAsia" w:ascii="仿宋" w:hAnsi="仿宋" w:eastAsia="仿宋" w:cs="仿宋"/>
                <w:w w:val="70"/>
                <w:sz w:val="28"/>
                <w:szCs w:val="28"/>
                <w:lang w:eastAsia="zh-CN"/>
              </w:rPr>
              <w:t>从业人员名单和健康体检及卫生知识培训合格证明，公共场所地址方位示意图、平面图和卫生设施平面布局图，公共场所卫生检测或者评价报告</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sz w:val="24"/>
                <w:szCs w:val="24"/>
                <w:lang w:eastAsia="zh-CN"/>
              </w:rPr>
              <w:t>《公共场所卫生管理条例实施细则》第二十三条　公共场所经营者申请卫生许可证的，应当提交下列资料：(一)卫生许可证申请表;　</w:t>
            </w:r>
            <w:r>
              <w:rPr>
                <w:rFonts w:hint="eastAsia" w:ascii="仿宋" w:hAnsi="仿宋" w:eastAsia="仿宋" w:cs="仿宋"/>
                <w:b w:val="0"/>
                <w:bCs w:val="0"/>
                <w:sz w:val="24"/>
                <w:szCs w:val="24"/>
                <w:lang w:eastAsia="zh-CN"/>
              </w:rPr>
              <w:br w:type="textWrapping"/>
            </w:r>
            <w:r>
              <w:rPr>
                <w:rFonts w:hint="eastAsia" w:ascii="仿宋" w:hAnsi="仿宋" w:eastAsia="仿宋" w:cs="仿宋"/>
                <w:b w:val="0"/>
                <w:bCs w:val="0"/>
                <w:sz w:val="24"/>
                <w:szCs w:val="24"/>
                <w:lang w:eastAsia="zh-CN"/>
              </w:rPr>
              <w:t>(二)法定代表人或者负责人身份证明;(三)公共场所地址方位示意图、平面图和卫生设施平面布局图;(四)公共场所卫生检测或者评价报告;(五)公共场所卫生管理制度;(六)省、自治区、直辖市卫生行政部门要求提供的其他材料。</w:t>
            </w:r>
            <w:r>
              <w:rPr>
                <w:rFonts w:hint="eastAsia" w:ascii="仿宋" w:hAnsi="仿宋" w:eastAsia="仿宋" w:cs="仿宋"/>
                <w:b w:val="0"/>
                <w:bCs w:val="0"/>
                <w:sz w:val="24"/>
                <w:szCs w:val="24"/>
                <w:lang w:eastAsia="zh-CN"/>
              </w:rPr>
              <w:br w:type="textWrapping"/>
            </w:r>
            <w:r>
              <w:rPr>
                <w:rFonts w:hint="eastAsia" w:ascii="仿宋" w:hAnsi="仿宋" w:eastAsia="仿宋" w:cs="仿宋"/>
                <w:b w:val="0"/>
                <w:bCs w:val="0"/>
                <w:sz w:val="24"/>
                <w:szCs w:val="24"/>
                <w:lang w:eastAsia="zh-CN"/>
              </w:rPr>
              <w:t>使用集中空调通风系统的，还应当提供集中空调通风系统卫生检测或者评价报告。</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tcBorders>
              <w:top w:val="single" w:color="auto" w:sz="4" w:space="0"/>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sz w:val="28"/>
                <w:szCs w:val="28"/>
                <w:lang w:eastAsia="zh-CN"/>
              </w:rPr>
              <w:t>公共场所卫生许可变更</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280" w:firstLineChars="1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val="en-US" w:eastAsia="zh-CN"/>
              </w:rPr>
              <w:t>行政许可</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w w:val="70"/>
                <w:kern w:val="2"/>
                <w:sz w:val="28"/>
                <w:szCs w:val="28"/>
                <w:lang w:val="en-US" w:eastAsia="zh-CN" w:bidi="ar-SA"/>
              </w:rPr>
            </w:pPr>
            <w:r>
              <w:rPr>
                <w:rFonts w:hint="eastAsia" w:ascii="仿宋" w:hAnsi="仿宋" w:eastAsia="仿宋" w:cs="仿宋"/>
                <w:w w:val="70"/>
                <w:sz w:val="28"/>
                <w:szCs w:val="28"/>
                <w:lang w:eastAsia="zh-CN"/>
              </w:rPr>
              <w:t>卫生许可证变更申请书，法定代表人/负责人身份证和资格证明，具体（委托）经办人的身份证和资格证明，营业执照（变更后）</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sz w:val="24"/>
                <w:szCs w:val="24"/>
                <w:lang w:eastAsia="zh-CN"/>
              </w:rPr>
              <w:t>公共场所卫生管理条例实施细则》第二十七条　公共场所经营者变更单位名称、法定代表人或者负责人的，应当向原发证卫生行政部门办理变更手续。</w:t>
            </w:r>
            <w:r>
              <w:rPr>
                <w:rFonts w:hint="eastAsia" w:ascii="仿宋" w:hAnsi="仿宋" w:eastAsia="仿宋" w:cs="仿宋"/>
                <w:b w:val="0"/>
                <w:bCs w:val="0"/>
                <w:sz w:val="24"/>
                <w:szCs w:val="24"/>
                <w:lang w:eastAsia="zh-CN"/>
              </w:rPr>
              <w:br w:type="textWrapping"/>
            </w:r>
            <w:r>
              <w:rPr>
                <w:rFonts w:hint="eastAsia" w:ascii="仿宋" w:hAnsi="仿宋" w:eastAsia="仿宋" w:cs="仿宋"/>
                <w:b w:val="0"/>
                <w:bCs w:val="0"/>
                <w:sz w:val="24"/>
                <w:szCs w:val="24"/>
                <w:lang w:eastAsia="zh-CN"/>
              </w:rPr>
              <w:t>公共场所经营者变更经营项目、经营场所地址的，应当向县级以上地方人民政府卫生行政部门重新申请卫生许可证。</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tcBorders>
              <w:top w:val="single" w:color="auto" w:sz="4" w:space="0"/>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sz w:val="28"/>
                <w:szCs w:val="28"/>
                <w:lang w:eastAsia="zh-CN"/>
              </w:rPr>
              <w:t>公共场所卫生许可延续</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280" w:firstLineChars="1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val="en-US" w:eastAsia="zh-CN"/>
              </w:rPr>
              <w:t>行政许可</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sz w:val="21"/>
                <w:szCs w:val="21"/>
                <w:lang w:eastAsia="zh-CN"/>
              </w:rPr>
              <w:t>从业人员健康体检合格证明复印件和卫生知识培训合格证明，卫生许可证延续申请书，一年内的卫生检测报告，使用集中空调通风系统的，应当提供一年内的集中空调通风系统卫生检测或者评价报告</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sz w:val="21"/>
                <w:szCs w:val="21"/>
                <w:lang w:eastAsia="zh-CN"/>
              </w:rPr>
              <w:t>《公共场所卫生管理条例实施细则》第二十三条　公共场所经营者申请卫生许可证的，应当提交下列资料：(一)卫生许可证申请表;</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二)法定代表人或者负责人身份证明;(三)公共场所地址方位示意图、平面图和卫生设施平面布局图;(四)公共场所卫生检测或者评价报告;(五)公共场所卫生管理制度;(六)省、自治区、直辖市卫生行政部门要求提供的其他材料。</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　　使用集中空调通风系统的，还应当提供集中空调通风系统卫生检测或者评价报告</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tcBorders>
              <w:top w:val="single" w:color="auto" w:sz="4" w:space="0"/>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sz w:val="28"/>
                <w:szCs w:val="28"/>
                <w:lang w:eastAsia="zh-CN"/>
              </w:rPr>
              <w:t>医疗机构设置审批</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280" w:firstLineChars="1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val="en-US" w:eastAsia="zh-CN"/>
              </w:rPr>
              <w:t>行政许可</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sz w:val="21"/>
                <w:szCs w:val="21"/>
                <w:lang w:eastAsia="zh-CN"/>
              </w:rPr>
              <w:t>选址报告和建筑设计平面图，设置可行性研究报告</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sz w:val="21"/>
                <w:szCs w:val="21"/>
                <w:lang w:eastAsia="zh-CN"/>
              </w:rPr>
              <w:t>医疗机构管理条例 第十条 申请设置医疗机构，应当提交下列文件；</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（一） 设置申请书</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（二） 设置可行性研究报告；</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（三） 选址报告和建筑设计平面图。 《医疗机构管理条例实施细则》第十八条 医疗机构建筑设计必须经设置审批机关审查同意后，方可施工</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取消</w:t>
            </w: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tcBorders>
              <w:top w:val="single" w:color="auto" w:sz="4" w:space="0"/>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sz w:val="28"/>
                <w:szCs w:val="28"/>
                <w:lang w:eastAsia="zh-CN"/>
              </w:rPr>
              <w:t>生育证核发</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280" w:firstLineChars="1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val="en-US" w:eastAsia="zh-CN"/>
              </w:rPr>
              <w:t>行政许可</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sz w:val="21"/>
                <w:szCs w:val="21"/>
                <w:lang w:eastAsia="zh-CN"/>
              </w:rPr>
              <w:t>结婚证，夫妻近期免冠2寸合影照片，外省户籍所在地乡镇出具的婚育证明</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sz w:val="21"/>
                <w:szCs w:val="21"/>
                <w:lang w:eastAsia="zh-CN"/>
              </w:rPr>
              <w:t>《安徽省人口与计划生育条例》（2016年1月15日安徽省人民代表大会常务委员会公告第四十号公布修正）第二十二条：要求再生育子女的夫妻，应当向一方户籍所在地的乡（镇）人民政府、街道办事处提出申请，并附送双方所在村民委员会、居民委员会或者所在单位出具的证明。</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乡（镇）人民政府、街道办事处应当自收到申请和证明材料之日起二十日内（需要进行病残儿鉴定的除外）提出审核意见，并报县级人民政府人口和计划生育行政部门。县级人民政府人口和计划生育行政部门应当在二十日内作出审批决定，符合条件的，签发生育证；不符合条件的，应当书面告知申请人。</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tcBorders>
              <w:top w:val="single" w:color="auto" w:sz="4" w:space="0"/>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sz w:val="28"/>
                <w:szCs w:val="28"/>
                <w:lang w:eastAsia="zh-CN"/>
              </w:rPr>
              <w:t>母婴保健技术服务人员资格许可</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280" w:firstLineChars="1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val="en-US" w:eastAsia="zh-CN"/>
              </w:rPr>
              <w:t>行政许可</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sz w:val="21"/>
                <w:szCs w:val="21"/>
                <w:lang w:eastAsia="zh-CN"/>
              </w:rPr>
              <w:t>照片，申请人员参与相关培训或进修的证书</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sz w:val="21"/>
                <w:szCs w:val="21"/>
                <w:lang w:eastAsia="zh-CN"/>
              </w:rPr>
              <w:t>原卫生部关于印发《产前诊断技术管理办法》相关配套文件的通知中附件3：从事产前诊断卫生专业技术人员的基本条件，按照临床医生、超声医生和实验室技术人员所应具备的条件进行审查</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27"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tcBorders>
              <w:top w:val="single" w:color="auto" w:sz="4" w:space="0"/>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sz w:val="28"/>
                <w:szCs w:val="28"/>
                <w:lang w:eastAsia="zh-CN"/>
              </w:rPr>
              <w:t>饮用水二次供水单位卫生许可</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280" w:firstLineChars="1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val="en-US" w:eastAsia="zh-CN"/>
              </w:rPr>
              <w:t>行政许可</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eastAsia="zh-CN"/>
              </w:rPr>
              <w:t>供、管水人员健康检查证明，二次供水卫生许可申请书，近期6个月内水质检测报告</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w w:val="66"/>
                <w:sz w:val="21"/>
                <w:szCs w:val="21"/>
                <w:lang w:eastAsia="zh-CN"/>
              </w:rPr>
              <w:t>生活饮用水卫生监督管理办法》第六条 供水单位供应的饮用水必须符合国家生活饮用水卫生标准。 第七条 集中式供水单位必须取得县级以上地方人民政府卫生行政部门签发的卫生许可证。城市自来水供水企业和自建设施对外供水的企业还必须取得建设行政主管部门颁发的《城市供水企业资质证书》，方可供水。</w:t>
            </w:r>
            <w:r>
              <w:rPr>
                <w:rFonts w:hint="eastAsia" w:ascii="仿宋" w:hAnsi="仿宋" w:eastAsia="仿宋" w:cs="仿宋"/>
                <w:b w:val="0"/>
                <w:bCs w:val="0"/>
                <w:w w:val="66"/>
                <w:sz w:val="21"/>
                <w:szCs w:val="21"/>
                <w:lang w:eastAsia="zh-CN"/>
              </w:rPr>
              <w:br w:type="textWrapping"/>
            </w:r>
            <w:r>
              <w:rPr>
                <w:rFonts w:hint="eastAsia" w:ascii="仿宋" w:hAnsi="仿宋" w:eastAsia="仿宋" w:cs="仿宋"/>
                <w:b w:val="0"/>
                <w:bCs w:val="0"/>
                <w:w w:val="66"/>
                <w:sz w:val="21"/>
                <w:szCs w:val="21"/>
                <w:lang w:eastAsia="zh-CN"/>
              </w:rPr>
              <w:t>第八条 供水单位新建、改建、扩建的饮用水供水工程项目，应当符合卫生要求，选址和设计审查、竣工验收必须有建设卫生行政部门参加。新建、改建、扩建的城市公共饮用水供水工程项目由建设行政主管部门负责组织选址、设计审查和竣工验收, 卫生行政部门参加。</w:t>
            </w:r>
            <w:r>
              <w:rPr>
                <w:rFonts w:hint="eastAsia" w:ascii="仿宋" w:hAnsi="仿宋" w:eastAsia="仿宋" w:cs="仿宋"/>
                <w:b w:val="0"/>
                <w:bCs w:val="0"/>
                <w:w w:val="66"/>
                <w:sz w:val="21"/>
                <w:szCs w:val="21"/>
                <w:lang w:eastAsia="zh-CN"/>
              </w:rPr>
              <w:br w:type="textWrapping"/>
            </w:r>
            <w:r>
              <w:rPr>
                <w:rFonts w:hint="eastAsia" w:ascii="仿宋" w:hAnsi="仿宋" w:eastAsia="仿宋" w:cs="仿宋"/>
                <w:b w:val="0"/>
                <w:bCs w:val="0"/>
                <w:w w:val="66"/>
                <w:sz w:val="21"/>
                <w:szCs w:val="21"/>
                <w:lang w:eastAsia="zh-CN"/>
              </w:rPr>
              <w:t>第九条 供水单位应建立饮用水卫生管理规章制度，配备专职或兼职人员，负责饮用水卫生管理工作。</w:t>
            </w:r>
            <w:r>
              <w:rPr>
                <w:rFonts w:hint="eastAsia" w:ascii="仿宋" w:hAnsi="仿宋" w:eastAsia="仿宋" w:cs="仿宋"/>
                <w:b w:val="0"/>
                <w:bCs w:val="0"/>
                <w:w w:val="66"/>
                <w:sz w:val="21"/>
                <w:szCs w:val="21"/>
                <w:lang w:eastAsia="zh-CN"/>
              </w:rPr>
              <w:br w:type="textWrapping"/>
            </w:r>
            <w:r>
              <w:rPr>
                <w:rFonts w:hint="eastAsia" w:ascii="仿宋" w:hAnsi="仿宋" w:eastAsia="仿宋" w:cs="仿宋"/>
                <w:b w:val="0"/>
                <w:bCs w:val="0"/>
                <w:w w:val="66"/>
                <w:sz w:val="21"/>
                <w:szCs w:val="21"/>
                <w:lang w:eastAsia="zh-CN"/>
              </w:rPr>
              <w:t>第十条 集中式供水单位必须有水质净化消毒设施及必要的水质检验仪器、设备和人员，对水质进行日常性检验，并向当地人民政府卫生行政部门和建设行政主管部门报送检测资料。城市自来水供水企业和自建设施对外供水的企业，其生产管理制度的建立和执行、人员上岗的资格和水质日常检测工作由城市建设行政主管部门负责管理。</w:t>
            </w:r>
            <w:r>
              <w:rPr>
                <w:rFonts w:hint="eastAsia" w:ascii="仿宋" w:hAnsi="仿宋" w:eastAsia="仿宋" w:cs="仿宋"/>
                <w:b w:val="0"/>
                <w:bCs w:val="0"/>
                <w:w w:val="66"/>
                <w:sz w:val="21"/>
                <w:szCs w:val="21"/>
                <w:lang w:eastAsia="zh-CN"/>
              </w:rPr>
              <w:br w:type="textWrapping"/>
            </w:r>
            <w:r>
              <w:rPr>
                <w:rFonts w:hint="eastAsia" w:ascii="仿宋" w:hAnsi="仿宋" w:eastAsia="仿宋" w:cs="仿宋"/>
                <w:b w:val="0"/>
                <w:bCs w:val="0"/>
                <w:w w:val="66"/>
                <w:sz w:val="21"/>
                <w:szCs w:val="21"/>
                <w:lang w:eastAsia="zh-CN"/>
              </w:rPr>
              <w:t>第十一条 直接从事供、管水的人员必须取得体检合格证后方可上岗工作，并每年进行一次健康检查。凡患有痢疾、伤寒、病毒性肝炎、活动性肺结核、化脓性或渗出性皮肤病及其他有碍饮用水卫生的疾病的和病原携带者，不得直接从事供、管水工作。直接从事供、管水的人员，未经卫生知识培训不得上岗工作。第十二条 生产涉及饮用水卫生安全的产品的单位和个人，必须按规定向政府卫生行政部门申请办理产品卫生许可批准文件，取得批准文件后，方可生产和销售。任何单位和个人不得生产、销售、使用无批准文件的前款产品。</w:t>
            </w:r>
            <w:r>
              <w:rPr>
                <w:rFonts w:hint="eastAsia" w:ascii="仿宋" w:hAnsi="仿宋" w:eastAsia="仿宋" w:cs="仿宋"/>
                <w:b w:val="0"/>
                <w:bCs w:val="0"/>
                <w:w w:val="66"/>
                <w:sz w:val="21"/>
                <w:szCs w:val="21"/>
                <w:lang w:eastAsia="zh-CN"/>
              </w:rPr>
              <w:br w:type="textWrapping"/>
            </w:r>
            <w:r>
              <w:rPr>
                <w:rFonts w:hint="eastAsia" w:ascii="仿宋" w:hAnsi="仿宋" w:eastAsia="仿宋" w:cs="仿宋"/>
                <w:b w:val="0"/>
                <w:bCs w:val="0"/>
                <w:w w:val="66"/>
                <w:sz w:val="21"/>
                <w:szCs w:val="21"/>
                <w:lang w:eastAsia="zh-CN"/>
              </w:rPr>
              <w:t>第十三条 饮用水水源地必须设置水源保护区。保护区内严禁修建任何可能危害水源水质卫生的设施及一切有碍水源水质卫生的行为。</w:t>
            </w:r>
            <w:r>
              <w:rPr>
                <w:rFonts w:hint="eastAsia" w:ascii="仿宋" w:hAnsi="仿宋" w:eastAsia="仿宋" w:cs="仿宋"/>
                <w:b w:val="0"/>
                <w:bCs w:val="0"/>
                <w:w w:val="66"/>
                <w:sz w:val="21"/>
                <w:szCs w:val="21"/>
                <w:lang w:eastAsia="zh-CN"/>
              </w:rPr>
              <w:br w:type="textWrapping"/>
            </w:r>
            <w:r>
              <w:rPr>
                <w:rFonts w:hint="eastAsia" w:ascii="仿宋" w:hAnsi="仿宋" w:eastAsia="仿宋" w:cs="仿宋"/>
                <w:b w:val="0"/>
                <w:bCs w:val="0"/>
                <w:w w:val="66"/>
                <w:sz w:val="21"/>
                <w:szCs w:val="21"/>
                <w:lang w:eastAsia="zh-CN"/>
              </w:rPr>
              <w:t>第十四条 二次供水设施选址、设计、施工及所用材料，应保证不使饮用水水质受到污染，并有利于清洗和消毒。各类蓄水设施要加强卫生防护，定期清洗和消毒。具体管理办法由省、自治区、直辖市根据本地区情况另行规定。从事二次供水设施清洗消毒的单位必须取得当地人民政府卫生行政部门的卫生许可后，方可从事清洗消毒工作。清洗消毒人员，必须经卫生知识培训和健康检查，取得体检合格证后方可上岗。 第十五条 当饮用水被污染，可能危及人体健康时，有关单位或责任人应立即采取措施，消除污染，并向当地人民政府卫生行政部门和建设行政主管部门报告</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tcBorders>
              <w:top w:val="single" w:color="auto" w:sz="4" w:space="0"/>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sz w:val="28"/>
                <w:szCs w:val="28"/>
                <w:lang w:eastAsia="zh-CN"/>
              </w:rPr>
              <w:t>饮用水集中式供水许可证换发</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280" w:firstLineChars="1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val="en-US" w:eastAsia="zh-CN"/>
              </w:rPr>
              <w:t>行政许可</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eastAsia="zh-CN"/>
              </w:rPr>
              <w:t>制水工艺流程图，卫生许可证申请表，直接从事供管水人有效健康证明，六个月内出厂水、末梢水水质检测报告单</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w w:val="66"/>
                <w:sz w:val="21"/>
                <w:szCs w:val="21"/>
                <w:lang w:eastAsia="zh-CN"/>
              </w:rPr>
              <w:t>《生活饮用水卫生监督管理办法》？第六条 供水单位供应的饮用水必须符合国家生活饮用水卫生标准。 第七条 集中式供水单位必须取得县级以上地方人民政府卫生行政部门签发的卫生许可证。城市自来水供水企业和自建设施对外供水的企业还必须取得建设行政主管部门颁发的《城市供水企业资质证书》，方可供水。</w:t>
            </w:r>
            <w:r>
              <w:rPr>
                <w:rFonts w:hint="eastAsia" w:ascii="仿宋" w:hAnsi="仿宋" w:eastAsia="仿宋" w:cs="仿宋"/>
                <w:b w:val="0"/>
                <w:bCs w:val="0"/>
                <w:w w:val="66"/>
                <w:sz w:val="21"/>
                <w:szCs w:val="21"/>
                <w:lang w:eastAsia="zh-CN"/>
              </w:rPr>
              <w:br w:type="textWrapping"/>
            </w:r>
            <w:r>
              <w:rPr>
                <w:rFonts w:hint="eastAsia" w:ascii="仿宋" w:hAnsi="仿宋" w:eastAsia="仿宋" w:cs="仿宋"/>
                <w:b w:val="0"/>
                <w:bCs w:val="0"/>
                <w:w w:val="66"/>
                <w:sz w:val="21"/>
                <w:szCs w:val="21"/>
                <w:lang w:eastAsia="zh-CN"/>
              </w:rPr>
              <w:t>第八条 供水单位新建、改建、扩建的饮用水供水工程项目，应当符合卫生要求，选址和设计审查、竣工验收必须有建设卫生行政部门参加。新建、改建、扩建的城市公共饮用水供水工程项目由建设行政主管部门负责组织选址、设计审查和竣工验收, 卫生行政部门参加。</w:t>
            </w:r>
            <w:r>
              <w:rPr>
                <w:rFonts w:hint="eastAsia" w:ascii="仿宋" w:hAnsi="仿宋" w:eastAsia="仿宋" w:cs="仿宋"/>
                <w:b w:val="0"/>
                <w:bCs w:val="0"/>
                <w:w w:val="66"/>
                <w:sz w:val="21"/>
                <w:szCs w:val="21"/>
                <w:lang w:eastAsia="zh-CN"/>
              </w:rPr>
              <w:br w:type="textWrapping"/>
            </w:r>
            <w:r>
              <w:rPr>
                <w:rFonts w:hint="eastAsia" w:ascii="仿宋" w:hAnsi="仿宋" w:eastAsia="仿宋" w:cs="仿宋"/>
                <w:b w:val="0"/>
                <w:bCs w:val="0"/>
                <w:w w:val="66"/>
                <w:sz w:val="21"/>
                <w:szCs w:val="21"/>
                <w:lang w:eastAsia="zh-CN"/>
              </w:rPr>
              <w:t>第九条 供水单位应建立饮用水卫生管理规章制度，配备专职或兼职人员，负责饮用水卫生管理工作。</w:t>
            </w:r>
            <w:r>
              <w:rPr>
                <w:rFonts w:hint="eastAsia" w:ascii="仿宋" w:hAnsi="仿宋" w:eastAsia="仿宋" w:cs="仿宋"/>
                <w:b w:val="0"/>
                <w:bCs w:val="0"/>
                <w:w w:val="66"/>
                <w:sz w:val="21"/>
                <w:szCs w:val="21"/>
                <w:lang w:eastAsia="zh-CN"/>
              </w:rPr>
              <w:br w:type="textWrapping"/>
            </w:r>
            <w:r>
              <w:rPr>
                <w:rFonts w:hint="eastAsia" w:ascii="仿宋" w:hAnsi="仿宋" w:eastAsia="仿宋" w:cs="仿宋"/>
                <w:b w:val="0"/>
                <w:bCs w:val="0"/>
                <w:w w:val="66"/>
                <w:sz w:val="21"/>
                <w:szCs w:val="21"/>
                <w:lang w:eastAsia="zh-CN"/>
              </w:rPr>
              <w:t>第十条 集中式供水单位必须有水质净化消毒设施及必要的水质检验仪器、设备和人员，对水质进行日常性检验，并向当地人民政府卫生行政部门和建设行政主管部门报送检测资料。城市自来水供水企业和自建设施对外供水的企业，其生产管理制度的建立和执行、人员上岗的资格和水质日常检测工作由城市建设行政主管部门负责管理。</w:t>
            </w:r>
            <w:r>
              <w:rPr>
                <w:rFonts w:hint="eastAsia" w:ascii="仿宋" w:hAnsi="仿宋" w:eastAsia="仿宋" w:cs="仿宋"/>
                <w:b w:val="0"/>
                <w:bCs w:val="0"/>
                <w:w w:val="66"/>
                <w:sz w:val="21"/>
                <w:szCs w:val="21"/>
                <w:lang w:eastAsia="zh-CN"/>
              </w:rPr>
              <w:br w:type="textWrapping"/>
            </w:r>
            <w:r>
              <w:rPr>
                <w:rFonts w:hint="eastAsia" w:ascii="仿宋" w:hAnsi="仿宋" w:eastAsia="仿宋" w:cs="仿宋"/>
                <w:b w:val="0"/>
                <w:bCs w:val="0"/>
                <w:w w:val="66"/>
                <w:sz w:val="21"/>
                <w:szCs w:val="21"/>
                <w:lang w:eastAsia="zh-CN"/>
              </w:rPr>
              <w:t>第十一条 直接从事供、管水的人员必须取得体检合格证后方可上岗工作，并每年进行一次健康检查。凡患有痢疾、伤寒、病毒性肝炎、活动性肺结核、化脓性或渗出性皮肤病及其他有碍饮用水卫生的疾病的和病原携带者，不得直接从事供、管水工作。直接从事供、管水的人员，未经卫生知识培训不得上岗工作。第十二条 生产涉及饮用水卫生安全的产品的单位和个人，必须按规定向政府卫生行政部门申请办理产品卫生许可批准文件，取得批准文件后，方可生产和销售。任何单位和个人不得生产、销售、使用无批准文件的前款产品。</w:t>
            </w:r>
            <w:r>
              <w:rPr>
                <w:rFonts w:hint="eastAsia" w:ascii="仿宋" w:hAnsi="仿宋" w:eastAsia="仿宋" w:cs="仿宋"/>
                <w:b w:val="0"/>
                <w:bCs w:val="0"/>
                <w:w w:val="66"/>
                <w:sz w:val="21"/>
                <w:szCs w:val="21"/>
                <w:lang w:eastAsia="zh-CN"/>
              </w:rPr>
              <w:br w:type="textWrapping"/>
            </w:r>
            <w:r>
              <w:rPr>
                <w:rFonts w:hint="eastAsia" w:ascii="仿宋" w:hAnsi="仿宋" w:eastAsia="仿宋" w:cs="仿宋"/>
                <w:b w:val="0"/>
                <w:bCs w:val="0"/>
                <w:w w:val="66"/>
                <w:sz w:val="21"/>
                <w:szCs w:val="21"/>
                <w:lang w:eastAsia="zh-CN"/>
              </w:rPr>
              <w:t>第十三条 饮用水水源地必须设置水源保护区。保护区内严禁修建任何可能危害水源水质卫生的设施及一切有碍水源水质卫生的行为。</w:t>
            </w:r>
            <w:r>
              <w:rPr>
                <w:rFonts w:hint="eastAsia" w:ascii="仿宋" w:hAnsi="仿宋" w:eastAsia="仿宋" w:cs="仿宋"/>
                <w:b w:val="0"/>
                <w:bCs w:val="0"/>
                <w:w w:val="66"/>
                <w:sz w:val="21"/>
                <w:szCs w:val="21"/>
                <w:lang w:eastAsia="zh-CN"/>
              </w:rPr>
              <w:br w:type="textWrapping"/>
            </w:r>
            <w:r>
              <w:rPr>
                <w:rFonts w:hint="eastAsia" w:ascii="仿宋" w:hAnsi="仿宋" w:eastAsia="仿宋" w:cs="仿宋"/>
                <w:b w:val="0"/>
                <w:bCs w:val="0"/>
                <w:w w:val="66"/>
                <w:sz w:val="21"/>
                <w:szCs w:val="21"/>
                <w:lang w:eastAsia="zh-CN"/>
              </w:rPr>
              <w:t>第十四条 二次供水设施选址、设计、施工及所用材料，应保证不使饮用水水质受到污染，并有利于清洗和消毒。各类蓄水设施要加强卫生防护，定期清洗和消毒。具体管理办法由省、自治区、直辖市根据本地区情况另行规定。从事二次供水设施清洗消毒的单位必须取得当地人民政府卫生行政部门的卫生许可后，方可从事清洗消毒工作。清洗消毒人员，必须经卫生知识培训和健康检查，取得体检合格证后方可上岗。 第十五条 当饮用水被污染，可能危及人体健康时，有关单位或责任人应立即采取措施，消除污染，并向当地人民政府卫生行政部门和建设行政主管部门报告。</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tcBorders>
              <w:top w:val="single" w:color="auto" w:sz="4" w:space="0"/>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sz w:val="28"/>
                <w:szCs w:val="28"/>
                <w:lang w:eastAsia="zh-CN"/>
              </w:rPr>
              <w:t>饮用水集中式供水单位许可</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280" w:firstLineChars="1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val="en-US" w:eastAsia="zh-CN"/>
              </w:rPr>
              <w:t>行政许可</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eastAsia="zh-CN"/>
              </w:rPr>
              <w:t>卫生许可证申请表，直接从事供管水人有效健康证明，检验人员身份证明及资质证书，六个月内出厂水、末梢水水质检测报告单</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w w:val="66"/>
                <w:sz w:val="21"/>
                <w:szCs w:val="21"/>
                <w:lang w:eastAsia="zh-CN"/>
              </w:rPr>
              <w:t>《生活饮用水卫生监督管理办法》？第六条 供水单位供应的饮用水必须符合国家生活饮用水卫生标准。 第七条 集中式供水单位必须取得县级以上地方人民政府卫生行政部门签发的卫生许可证。城市自来水供水企业和自建设施对外供水的企业还必须取得建设行政主管部门颁发的《城市供水企业资质证书》，方可供水。</w:t>
            </w:r>
            <w:r>
              <w:rPr>
                <w:rFonts w:hint="eastAsia" w:ascii="仿宋" w:hAnsi="仿宋" w:eastAsia="仿宋" w:cs="仿宋"/>
                <w:b w:val="0"/>
                <w:bCs w:val="0"/>
                <w:w w:val="66"/>
                <w:sz w:val="21"/>
                <w:szCs w:val="21"/>
                <w:lang w:eastAsia="zh-CN"/>
              </w:rPr>
              <w:br w:type="textWrapping"/>
            </w:r>
            <w:r>
              <w:rPr>
                <w:rFonts w:hint="eastAsia" w:ascii="仿宋" w:hAnsi="仿宋" w:eastAsia="仿宋" w:cs="仿宋"/>
                <w:b w:val="0"/>
                <w:bCs w:val="0"/>
                <w:w w:val="66"/>
                <w:sz w:val="21"/>
                <w:szCs w:val="21"/>
                <w:lang w:eastAsia="zh-CN"/>
              </w:rPr>
              <w:t>第八条 供水单位新建、改建、扩建的饮用水供水工程项目，应当符合卫生要求，选址和设计审查、竣工验收必须有建设卫生行政部门参加。新建、改建、扩建的城市公共饮用水供水工程项目由建设行政主管部门负责组织选址、设计审查和竣工验收, 卫生行政部门参加。</w:t>
            </w:r>
            <w:r>
              <w:rPr>
                <w:rFonts w:hint="eastAsia" w:ascii="仿宋" w:hAnsi="仿宋" w:eastAsia="仿宋" w:cs="仿宋"/>
                <w:b w:val="0"/>
                <w:bCs w:val="0"/>
                <w:w w:val="66"/>
                <w:sz w:val="21"/>
                <w:szCs w:val="21"/>
                <w:lang w:eastAsia="zh-CN"/>
              </w:rPr>
              <w:br w:type="textWrapping"/>
            </w:r>
            <w:r>
              <w:rPr>
                <w:rFonts w:hint="eastAsia" w:ascii="仿宋" w:hAnsi="仿宋" w:eastAsia="仿宋" w:cs="仿宋"/>
                <w:b w:val="0"/>
                <w:bCs w:val="0"/>
                <w:w w:val="66"/>
                <w:sz w:val="21"/>
                <w:szCs w:val="21"/>
                <w:lang w:eastAsia="zh-CN"/>
              </w:rPr>
              <w:t>第九条 供水单位应建立饮用水卫生管理规章制度，配备专职或兼职人员，负责饮用水卫生管理工作。</w:t>
            </w:r>
            <w:r>
              <w:rPr>
                <w:rFonts w:hint="eastAsia" w:ascii="仿宋" w:hAnsi="仿宋" w:eastAsia="仿宋" w:cs="仿宋"/>
                <w:b w:val="0"/>
                <w:bCs w:val="0"/>
                <w:w w:val="66"/>
                <w:sz w:val="21"/>
                <w:szCs w:val="21"/>
                <w:lang w:eastAsia="zh-CN"/>
              </w:rPr>
              <w:br w:type="textWrapping"/>
            </w:r>
            <w:r>
              <w:rPr>
                <w:rFonts w:hint="eastAsia" w:ascii="仿宋" w:hAnsi="仿宋" w:eastAsia="仿宋" w:cs="仿宋"/>
                <w:b w:val="0"/>
                <w:bCs w:val="0"/>
                <w:w w:val="66"/>
                <w:sz w:val="21"/>
                <w:szCs w:val="21"/>
                <w:lang w:eastAsia="zh-CN"/>
              </w:rPr>
              <w:t>第十条 集中式供水单位必须有水质净化消毒设施及必要的水质检验仪器、设备和人员，对水质进行日常性检验，并向当地人民政府卫生行政部门和建设行政主管部门报送检测资料。城市自来水供水企业和自建设施对外供水的企业，其生产管理制度的建立和执行、人员上岗的资格和水质日常检测工作由城市建设行政主管部门负责管理。</w:t>
            </w:r>
            <w:r>
              <w:rPr>
                <w:rFonts w:hint="eastAsia" w:ascii="仿宋" w:hAnsi="仿宋" w:eastAsia="仿宋" w:cs="仿宋"/>
                <w:b w:val="0"/>
                <w:bCs w:val="0"/>
                <w:w w:val="66"/>
                <w:sz w:val="21"/>
                <w:szCs w:val="21"/>
                <w:lang w:eastAsia="zh-CN"/>
              </w:rPr>
              <w:br w:type="textWrapping"/>
            </w:r>
            <w:r>
              <w:rPr>
                <w:rFonts w:hint="eastAsia" w:ascii="仿宋" w:hAnsi="仿宋" w:eastAsia="仿宋" w:cs="仿宋"/>
                <w:b w:val="0"/>
                <w:bCs w:val="0"/>
                <w:w w:val="66"/>
                <w:sz w:val="21"/>
                <w:szCs w:val="21"/>
                <w:lang w:eastAsia="zh-CN"/>
              </w:rPr>
              <w:t>第十一条 直接从事供、管水的人员必须取得体检合格证后方可上岗工作，并每年进行一次健康检查。凡患有痢疾、伤寒、病毒性肝炎、活动性肺结核、化脓性或渗出性皮肤病及其他有碍饮用水卫生的疾病的和病原携带者，不得直接从事供、管水工作。直接从事供、管水的人员，未经卫生知识培训不得上岗工作。第十二条 生产涉及饮用水卫生安全的产品的单位和个人，必须按规定向政府卫生行政部门申请办理产品卫生许可批准文件，取得批准文件后，方可生产和销售。任何单位和个人不得生产、销售、使用无批准文件的前款产品。</w:t>
            </w:r>
            <w:r>
              <w:rPr>
                <w:rFonts w:hint="eastAsia" w:ascii="仿宋" w:hAnsi="仿宋" w:eastAsia="仿宋" w:cs="仿宋"/>
                <w:b w:val="0"/>
                <w:bCs w:val="0"/>
                <w:w w:val="66"/>
                <w:sz w:val="21"/>
                <w:szCs w:val="21"/>
                <w:lang w:eastAsia="zh-CN"/>
              </w:rPr>
              <w:br w:type="textWrapping"/>
            </w:r>
            <w:r>
              <w:rPr>
                <w:rFonts w:hint="eastAsia" w:ascii="仿宋" w:hAnsi="仿宋" w:eastAsia="仿宋" w:cs="仿宋"/>
                <w:b w:val="0"/>
                <w:bCs w:val="0"/>
                <w:w w:val="66"/>
                <w:sz w:val="21"/>
                <w:szCs w:val="21"/>
                <w:lang w:eastAsia="zh-CN"/>
              </w:rPr>
              <w:t>第十三条 饮用水水源地必须设置水源保护区。保护区内严禁修建任何可能危害水源水质卫生的设施及一切有碍水源水质卫生的行为。</w:t>
            </w:r>
            <w:r>
              <w:rPr>
                <w:rFonts w:hint="eastAsia" w:ascii="仿宋" w:hAnsi="仿宋" w:eastAsia="仿宋" w:cs="仿宋"/>
                <w:b w:val="0"/>
                <w:bCs w:val="0"/>
                <w:w w:val="66"/>
                <w:sz w:val="21"/>
                <w:szCs w:val="21"/>
                <w:lang w:eastAsia="zh-CN"/>
              </w:rPr>
              <w:br w:type="textWrapping"/>
            </w:r>
            <w:r>
              <w:rPr>
                <w:rFonts w:hint="eastAsia" w:ascii="仿宋" w:hAnsi="仿宋" w:eastAsia="仿宋" w:cs="仿宋"/>
                <w:b w:val="0"/>
                <w:bCs w:val="0"/>
                <w:w w:val="66"/>
                <w:sz w:val="21"/>
                <w:szCs w:val="21"/>
                <w:lang w:eastAsia="zh-CN"/>
              </w:rPr>
              <w:t>第十四条 二次供水设施选址、设计、施工及所用材料，应保证不使饮用水水质受到污染，并有利于清洗和消毒。各类蓄水设施要加强卫生防护，定期清洗和消毒。具体管理办法由省、自治区、直辖市根据本地区情况另行规定。从事二次供水设施清洗消毒的单位必须取得当地人民政府卫生行政部门的卫生许可后，方可从事清洗消毒工作。清洗消毒人员，必须经卫生知识培训和健康检查，取得体检合格证后方可上岗。 第十五条 当饮用水被污染，可能危及人体健康时，有关单位或责任人应立即采取措施，消除污染，并向当地人民政府卫生行政部门和建设行政主管部门报告。</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tcBorders>
              <w:top w:val="single" w:color="auto" w:sz="4" w:space="0"/>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sz w:val="28"/>
                <w:szCs w:val="28"/>
                <w:lang w:eastAsia="zh-CN"/>
              </w:rPr>
              <w:t>饮用水二次供水单位许可证换发</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280" w:firstLineChars="1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val="en-US" w:eastAsia="zh-CN"/>
              </w:rPr>
              <w:t>行政许可</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eastAsia="zh-CN"/>
              </w:rPr>
              <w:t>供、管水人员健康检查证明，二次供水卫生许可申请书，近期6个月内水质检测报告</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w w:val="66"/>
                <w:sz w:val="21"/>
                <w:szCs w:val="21"/>
                <w:lang w:eastAsia="zh-CN"/>
              </w:rPr>
              <w:t>《生活饮用水卫生监督管理办法》？第六条 供水单位供应的饮用水必须符合国家生活饮用水卫生标准。 第七条 集中式供水单位必须取得县级以上地方人民政府卫生行政部门签发的卫生许可证。城市自来水供水企业和自建设施对外供水的企业还必须取得建设行政主管部门颁发的《城市供水企业资质证书》，方可供水。</w:t>
            </w:r>
            <w:r>
              <w:rPr>
                <w:rFonts w:hint="eastAsia" w:ascii="仿宋" w:hAnsi="仿宋" w:eastAsia="仿宋" w:cs="仿宋"/>
                <w:b w:val="0"/>
                <w:bCs w:val="0"/>
                <w:w w:val="66"/>
                <w:sz w:val="21"/>
                <w:szCs w:val="21"/>
                <w:lang w:eastAsia="zh-CN"/>
              </w:rPr>
              <w:br w:type="textWrapping"/>
            </w:r>
            <w:r>
              <w:rPr>
                <w:rFonts w:hint="eastAsia" w:ascii="仿宋" w:hAnsi="仿宋" w:eastAsia="仿宋" w:cs="仿宋"/>
                <w:b w:val="0"/>
                <w:bCs w:val="0"/>
                <w:w w:val="66"/>
                <w:sz w:val="21"/>
                <w:szCs w:val="21"/>
                <w:lang w:eastAsia="zh-CN"/>
              </w:rPr>
              <w:t>第八条 供水单位新建、改建、扩建的饮用水供水工程项目，应当符合卫生要求，选址和设计审查、竣工验收必须有建设卫生行政部门参加。新建、改建、扩建的城市公共饮用水供水工程项目由建设行政主管部门负责组织选址、设计审查和竣工验收, 卫生行政部门参加。</w:t>
            </w:r>
            <w:r>
              <w:rPr>
                <w:rFonts w:hint="eastAsia" w:ascii="仿宋" w:hAnsi="仿宋" w:eastAsia="仿宋" w:cs="仿宋"/>
                <w:b w:val="0"/>
                <w:bCs w:val="0"/>
                <w:w w:val="66"/>
                <w:sz w:val="21"/>
                <w:szCs w:val="21"/>
                <w:lang w:eastAsia="zh-CN"/>
              </w:rPr>
              <w:br w:type="textWrapping"/>
            </w:r>
            <w:r>
              <w:rPr>
                <w:rFonts w:hint="eastAsia" w:ascii="仿宋" w:hAnsi="仿宋" w:eastAsia="仿宋" w:cs="仿宋"/>
                <w:b w:val="0"/>
                <w:bCs w:val="0"/>
                <w:w w:val="66"/>
                <w:sz w:val="21"/>
                <w:szCs w:val="21"/>
                <w:lang w:eastAsia="zh-CN"/>
              </w:rPr>
              <w:t>第九条 供水单位应建立饮用水卫生管理规章制度，配备专职或兼职人员，负责饮用水卫生管理工作。</w:t>
            </w:r>
            <w:r>
              <w:rPr>
                <w:rFonts w:hint="eastAsia" w:ascii="仿宋" w:hAnsi="仿宋" w:eastAsia="仿宋" w:cs="仿宋"/>
                <w:b w:val="0"/>
                <w:bCs w:val="0"/>
                <w:w w:val="66"/>
                <w:sz w:val="21"/>
                <w:szCs w:val="21"/>
                <w:lang w:eastAsia="zh-CN"/>
              </w:rPr>
              <w:br w:type="textWrapping"/>
            </w:r>
            <w:r>
              <w:rPr>
                <w:rFonts w:hint="eastAsia" w:ascii="仿宋" w:hAnsi="仿宋" w:eastAsia="仿宋" w:cs="仿宋"/>
                <w:b w:val="0"/>
                <w:bCs w:val="0"/>
                <w:w w:val="66"/>
                <w:sz w:val="21"/>
                <w:szCs w:val="21"/>
                <w:lang w:eastAsia="zh-CN"/>
              </w:rPr>
              <w:t>第十条 集中式供水单位必须有水质净化消毒设施及必要的水质检验仪器、设备和人员，对水质进行日常性检验，并向当地人民政府卫生行政部门和建设行政主管部门报送检测资料。城市自来水供水企业和自建设施对外供水的企业，其生产管理制度的建立和执行、人员上岗的资格和水质日常检测工作由城市建设行政主管部门负责管理。</w:t>
            </w:r>
            <w:r>
              <w:rPr>
                <w:rFonts w:hint="eastAsia" w:ascii="仿宋" w:hAnsi="仿宋" w:eastAsia="仿宋" w:cs="仿宋"/>
                <w:b w:val="0"/>
                <w:bCs w:val="0"/>
                <w:w w:val="66"/>
                <w:sz w:val="21"/>
                <w:szCs w:val="21"/>
                <w:lang w:eastAsia="zh-CN"/>
              </w:rPr>
              <w:br w:type="textWrapping"/>
            </w:r>
            <w:r>
              <w:rPr>
                <w:rFonts w:hint="eastAsia" w:ascii="仿宋" w:hAnsi="仿宋" w:eastAsia="仿宋" w:cs="仿宋"/>
                <w:b w:val="0"/>
                <w:bCs w:val="0"/>
                <w:w w:val="66"/>
                <w:sz w:val="21"/>
                <w:szCs w:val="21"/>
                <w:lang w:eastAsia="zh-CN"/>
              </w:rPr>
              <w:t>第十一条 直接从事供、管水的人员必须取得体检合格证后方可上岗工作，并每年进行一次健康检查。凡患有痢疾、伤寒、病毒性肝炎、活动性肺结核、化脓性或渗出性皮肤病及其他有碍饮用水卫生的疾病的和病原携带者，不得直接从事供、管水工作。直接从事供、管水的人员，未经卫生知识培训不得上岗工作。第十二条 生产涉及饮用水卫生安全的产品的单位和个人，必须按规定向政府卫生行政部门申请办理产品卫生许可批准文件，取得批准文件后，方可生产和销售。任何单位和个人不得生产、销售、使用无批准文件的前款产品。</w:t>
            </w:r>
            <w:r>
              <w:rPr>
                <w:rFonts w:hint="eastAsia" w:ascii="仿宋" w:hAnsi="仿宋" w:eastAsia="仿宋" w:cs="仿宋"/>
                <w:b w:val="0"/>
                <w:bCs w:val="0"/>
                <w:w w:val="66"/>
                <w:sz w:val="21"/>
                <w:szCs w:val="21"/>
                <w:lang w:eastAsia="zh-CN"/>
              </w:rPr>
              <w:br w:type="textWrapping"/>
            </w:r>
            <w:r>
              <w:rPr>
                <w:rFonts w:hint="eastAsia" w:ascii="仿宋" w:hAnsi="仿宋" w:eastAsia="仿宋" w:cs="仿宋"/>
                <w:b w:val="0"/>
                <w:bCs w:val="0"/>
                <w:w w:val="66"/>
                <w:sz w:val="21"/>
                <w:szCs w:val="21"/>
                <w:lang w:eastAsia="zh-CN"/>
              </w:rPr>
              <w:t>第十三条 饮用水水源地必须设置水源保护区。保护区内严禁修建任何可能危害水源水质卫生的设施及一切有碍水源水质卫生的行为。</w:t>
            </w:r>
            <w:r>
              <w:rPr>
                <w:rFonts w:hint="eastAsia" w:ascii="仿宋" w:hAnsi="仿宋" w:eastAsia="仿宋" w:cs="仿宋"/>
                <w:b w:val="0"/>
                <w:bCs w:val="0"/>
                <w:w w:val="66"/>
                <w:sz w:val="21"/>
                <w:szCs w:val="21"/>
                <w:lang w:eastAsia="zh-CN"/>
              </w:rPr>
              <w:br w:type="textWrapping"/>
            </w:r>
            <w:r>
              <w:rPr>
                <w:rFonts w:hint="eastAsia" w:ascii="仿宋" w:hAnsi="仿宋" w:eastAsia="仿宋" w:cs="仿宋"/>
                <w:b w:val="0"/>
                <w:bCs w:val="0"/>
                <w:w w:val="66"/>
                <w:sz w:val="21"/>
                <w:szCs w:val="21"/>
                <w:lang w:eastAsia="zh-CN"/>
              </w:rPr>
              <w:t>第十四条 二次供水设施选址、设计、施工及所用材料，应保证不使饮用水水质受到污染，并有利于清洗和消毒。各类蓄水设施要加强卫生防护，定期清洗和消毒。具体管理办法由省、自治区、直辖市根据本地区情况另行规定。从事二次供水设施清洗消毒的单位必须取得当地人民政府卫生行政部门的卫生许可后，方可从事清洗消毒工作。清洗消毒人员，必须经卫生知识培训和健康检查，取得体检合格证后方可上岗。 第十五条 当饮用水被污染，可能危及人体健康时，有关单位或责任人应立即采取措施，消除污染，并向当地人民政府卫生行政部门和建设行政主管部门报告</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tcBorders>
              <w:top w:val="single" w:color="auto" w:sz="4" w:space="0"/>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sz w:val="28"/>
                <w:szCs w:val="28"/>
                <w:lang w:eastAsia="zh-CN"/>
              </w:rPr>
              <w:t>母婴保健技术服务执业变更</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280" w:firstLineChars="1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val="en-US" w:eastAsia="zh-CN"/>
              </w:rPr>
              <w:t>行政许可</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eastAsia="zh-CN"/>
              </w:rPr>
              <w:t>母婴保健技术服务执业许可变更申请变更登记注册书，法人任命文件</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sz w:val="28"/>
                <w:szCs w:val="28"/>
                <w:lang w:eastAsia="zh-CN"/>
              </w:rPr>
              <w:t>《产前诊断技术管理办法》</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05"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tcBorders>
              <w:top w:val="single" w:color="auto" w:sz="4" w:space="0"/>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sz w:val="28"/>
                <w:szCs w:val="28"/>
                <w:lang w:eastAsia="zh-CN"/>
              </w:rPr>
              <w:t>母婴保健技术服务执业许可</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280" w:firstLineChars="1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val="en-US" w:eastAsia="zh-CN"/>
              </w:rPr>
              <w:t>行政许可</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4"/>
                <w:szCs w:val="24"/>
                <w:lang w:eastAsia="zh-CN"/>
              </w:rPr>
              <w:t>《母婴保健技术服务执业许可申请登记书》，有关医师的《母婴保健技术考核合格证书》</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sz w:val="28"/>
                <w:szCs w:val="28"/>
                <w:lang w:eastAsia="zh-CN"/>
              </w:rPr>
              <w:t>《产前诊断技术管理办法》第十条第（六）款“省级以上卫生行政部门规定提交的其他材料”</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90"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tcBorders>
              <w:top w:val="single" w:color="auto" w:sz="4" w:space="0"/>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sz w:val="28"/>
                <w:szCs w:val="28"/>
                <w:lang w:eastAsia="zh-CN"/>
              </w:rPr>
              <w:t>母婴保健技术服务执业校验</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280" w:firstLineChars="1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val="en-US" w:eastAsia="zh-CN"/>
              </w:rPr>
              <w:t>行政许可</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eastAsia="zh-CN"/>
              </w:rPr>
              <w:t>医疗机构执业许可证副本，母婴保健技术服务执业许可校验申请书</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sz w:val="28"/>
                <w:szCs w:val="28"/>
                <w:lang w:eastAsia="zh-CN"/>
              </w:rPr>
              <w:t>《安徽省产前诊断技术管理办法实施细则》第十六条第（一）款医疗机构执业许可证副本</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tcBorders>
              <w:top w:val="single" w:color="auto" w:sz="4" w:space="0"/>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sz w:val="28"/>
                <w:szCs w:val="28"/>
                <w:lang w:eastAsia="zh-CN"/>
              </w:rPr>
              <w:t>乡村医生执业注册变更</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280" w:firstLineChars="1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val="en-US" w:eastAsia="zh-CN"/>
              </w:rPr>
              <w:t>行政许可</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eastAsia="zh-CN"/>
              </w:rPr>
              <w:t>申请人近期免冠正面小二寸半身照片，医疗机构聘用证明</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sz w:val="28"/>
                <w:szCs w:val="28"/>
                <w:lang w:eastAsia="zh-CN"/>
              </w:rPr>
              <w:t>《乡村医生从业管理条例》</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85"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tcBorders>
              <w:top w:val="single" w:color="auto" w:sz="4" w:space="0"/>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sz w:val="28"/>
                <w:szCs w:val="28"/>
                <w:lang w:eastAsia="zh-CN"/>
              </w:rPr>
              <w:t>乡村医生注销注册</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280" w:firstLineChars="1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val="en-US" w:eastAsia="zh-CN"/>
              </w:rPr>
              <w:t>行政许可</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eastAsia="zh-CN"/>
              </w:rPr>
              <w:t>乡村医生注销注册申请表，乡村医生资格证书</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sz w:val="28"/>
                <w:szCs w:val="28"/>
                <w:lang w:eastAsia="zh-CN"/>
              </w:rPr>
              <w:t>《乡村医生从业管理条例》</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30"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tcBorders>
              <w:top w:val="single" w:color="auto" w:sz="4" w:space="0"/>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sz w:val="28"/>
                <w:szCs w:val="28"/>
                <w:lang w:eastAsia="zh-CN"/>
              </w:rPr>
              <w:t>乡村医生执业注册</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280" w:firstLineChars="1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val="en-US" w:eastAsia="zh-CN"/>
              </w:rPr>
              <w:t>行政许可</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eastAsia="zh-CN"/>
              </w:rPr>
              <w:t>申请人近期免冠正面小二寸半身照片，医疗机构聘用证明</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sz w:val="28"/>
                <w:szCs w:val="28"/>
                <w:lang w:eastAsia="zh-CN"/>
              </w:rPr>
              <w:t>《乡村医生从业管理条例》，（二级以上医院出具）</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15"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tcBorders>
              <w:top w:val="single" w:color="auto" w:sz="4" w:space="0"/>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sz w:val="28"/>
                <w:szCs w:val="28"/>
                <w:lang w:eastAsia="zh-CN"/>
              </w:rPr>
              <w:t>乡村医生执业再注册</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280" w:firstLineChars="1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val="en-US" w:eastAsia="zh-CN"/>
              </w:rPr>
              <w:t>行政许可</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eastAsia="zh-CN"/>
              </w:rPr>
              <w:t>医疗机构执聘用证明，申请人近期免冠正面小二寸半身照片，乡村医生定期考核合格证明</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sz w:val="28"/>
                <w:szCs w:val="28"/>
                <w:lang w:eastAsia="zh-CN"/>
              </w:rPr>
              <w:t>《乡村医生从业管理条例》</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0"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tcBorders>
              <w:top w:val="single" w:color="auto" w:sz="4" w:space="0"/>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sz w:val="28"/>
                <w:szCs w:val="28"/>
                <w:lang w:eastAsia="zh-CN"/>
              </w:rPr>
              <w:t>护士首次注册</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280" w:firstLineChars="1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val="en-US" w:eastAsia="zh-CN"/>
              </w:rPr>
              <w:t>行政许可</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w w:val="80"/>
                <w:sz w:val="28"/>
                <w:szCs w:val="28"/>
                <w:lang w:eastAsia="zh-CN"/>
              </w:rPr>
              <w:t>专业学习中的临床实习证明，申请人学历证书，二级及以上设立健康体检科的综合医院、中医院、专科 医院出具的申请人 6 个月内健康体检证明原件（粘贴照片 1 张），执业资格考试成绩合格证明</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sz w:val="28"/>
                <w:szCs w:val="28"/>
                <w:lang w:eastAsia="zh-CN"/>
              </w:rPr>
              <w:t>《护士执业注册管理办法》（卫生部令第59号）第七条　申请护士执业注册，应当提交下列材料：（一）护士执业注册申请审核表；（三）申请人学历证书及专业学习中的临床实习证明</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tcBorders>
              <w:top w:val="single" w:color="auto" w:sz="4" w:space="0"/>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sz w:val="28"/>
                <w:szCs w:val="28"/>
                <w:lang w:eastAsia="zh-CN"/>
              </w:rPr>
              <w:t>受吊销处罚护士证书注销注册</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280" w:firstLineChars="1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val="en-US" w:eastAsia="zh-CN"/>
              </w:rPr>
              <w:t>行政许可</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 w:hAnsi="仿宋" w:eastAsia="仿宋" w:cs="仿宋"/>
                <w:color w:val="auto"/>
                <w:w w:val="100"/>
                <w:kern w:val="2"/>
                <w:sz w:val="21"/>
                <w:szCs w:val="21"/>
                <w:lang w:val="en-US" w:eastAsia="zh-CN" w:bidi="ar-SA"/>
              </w:rPr>
            </w:pPr>
            <w:r>
              <w:rPr>
                <w:rFonts w:hint="eastAsia" w:ascii="仿宋" w:hAnsi="仿宋" w:eastAsia="仿宋" w:cs="仿宋"/>
                <w:w w:val="100"/>
                <w:sz w:val="21"/>
                <w:szCs w:val="21"/>
                <w:lang w:eastAsia="zh-CN"/>
              </w:rPr>
              <w:t>护士注销注册申请审核表，拟被注销人的《护士执业证书》</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w w:val="90"/>
                <w:sz w:val="21"/>
                <w:szCs w:val="21"/>
                <w:lang w:eastAsia="zh-CN"/>
              </w:rPr>
              <w:t>《护士执业注册管理办法》（卫生部令第59号）第十八条　护士执业注册后有下列情形之一的，原注册部门办理注销执业注册：（一）注册有效期届满未延续注册；（二）受吊销《护士执业证书》处罚；（三）护士死亡或者丧失民事行为能力</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tcBorders>
              <w:top w:val="single" w:color="auto" w:sz="4" w:space="0"/>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sz w:val="28"/>
                <w:szCs w:val="28"/>
                <w:lang w:eastAsia="zh-CN"/>
              </w:rPr>
              <w:t>因死亡或丧失民事行为护士证书注销注册</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280" w:firstLineChars="1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val="en-US" w:eastAsia="zh-CN"/>
              </w:rPr>
              <w:t>行政许可</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 w:hAnsi="仿宋" w:eastAsia="仿宋" w:cs="仿宋"/>
                <w:color w:val="auto"/>
                <w:w w:val="100"/>
                <w:kern w:val="2"/>
                <w:sz w:val="21"/>
                <w:szCs w:val="21"/>
                <w:lang w:val="en-US" w:eastAsia="zh-CN" w:bidi="ar-SA"/>
              </w:rPr>
            </w:pPr>
            <w:r>
              <w:rPr>
                <w:rFonts w:hint="eastAsia" w:ascii="仿宋" w:hAnsi="仿宋" w:eastAsia="仿宋" w:cs="仿宋"/>
                <w:w w:val="100"/>
                <w:sz w:val="21"/>
                <w:szCs w:val="21"/>
                <w:lang w:eastAsia="zh-CN"/>
              </w:rPr>
              <w:t>护士注销注册申请审核表，拟被注销人的《护士执业证书》</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sz w:val="21"/>
                <w:szCs w:val="21"/>
                <w:lang w:eastAsia="zh-CN"/>
              </w:rPr>
              <w:t>《护士执业注册管理办法》（卫生部令第59号）第十八条　护士执业注册后有下列情形之一的，原注册部门办理注销执业注册：（一）注册有效期届满未延续注册；（二）受吊销《护士执业证书》处罚；（三）护士死亡或者丧失民事行为能力。</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tcBorders>
              <w:top w:val="single" w:color="auto" w:sz="4" w:space="0"/>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sz w:val="28"/>
                <w:szCs w:val="28"/>
                <w:lang w:eastAsia="zh-CN"/>
              </w:rPr>
              <w:t>护士变更注册</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280" w:firstLineChars="1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val="en-US" w:eastAsia="zh-CN"/>
              </w:rPr>
              <w:t>行政许可</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 w:hAnsi="仿宋" w:eastAsia="仿宋" w:cs="仿宋"/>
                <w:color w:val="auto"/>
                <w:w w:val="100"/>
                <w:kern w:val="2"/>
                <w:sz w:val="21"/>
                <w:szCs w:val="21"/>
                <w:lang w:val="en-US" w:eastAsia="zh-CN" w:bidi="ar-SA"/>
              </w:rPr>
            </w:pPr>
            <w:r>
              <w:rPr>
                <w:rFonts w:hint="eastAsia" w:ascii="仿宋" w:hAnsi="仿宋" w:eastAsia="仿宋" w:cs="仿宋"/>
                <w:w w:val="100"/>
                <w:sz w:val="21"/>
                <w:szCs w:val="21"/>
                <w:lang w:eastAsia="zh-CN"/>
              </w:rPr>
              <w:t>申请人的《护士执业证书》</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sz w:val="21"/>
                <w:szCs w:val="21"/>
                <w:lang w:eastAsia="zh-CN"/>
              </w:rPr>
              <w:t>《护士执业注册管理办法》第十七条　护士在其执业注册有效期内变更执业地点的，应当向拟执业地注册主管部门报告，并提交下列材料：（二）申请人的《护士执业证书》</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tcBorders>
              <w:top w:val="single" w:color="auto" w:sz="4" w:space="0"/>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sz w:val="28"/>
                <w:szCs w:val="28"/>
                <w:lang w:eastAsia="zh-CN"/>
              </w:rPr>
              <w:t>护士执业证书有效期届满未延续重新注册</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280" w:firstLineChars="1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val="en-US" w:eastAsia="zh-CN"/>
              </w:rPr>
              <w:t>行政许可</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 w:hAnsi="仿宋" w:eastAsia="仿宋" w:cs="仿宋"/>
                <w:color w:val="auto"/>
                <w:w w:val="100"/>
                <w:kern w:val="2"/>
                <w:sz w:val="21"/>
                <w:szCs w:val="21"/>
                <w:lang w:val="en-US" w:eastAsia="zh-CN" w:bidi="ar-SA"/>
              </w:rPr>
            </w:pPr>
            <w:r>
              <w:rPr>
                <w:rFonts w:hint="eastAsia" w:ascii="仿宋" w:hAnsi="仿宋" w:eastAsia="仿宋" w:cs="仿宋"/>
                <w:w w:val="100"/>
                <w:sz w:val="21"/>
                <w:szCs w:val="21"/>
                <w:lang w:eastAsia="zh-CN"/>
              </w:rPr>
              <w:t>护士执业注册申请审核表，申请人护士执业资格考试成绩合格证明或护士资格证书，原执业单位中断护理执业活动未超过 3 年的证明；中断护理执业活动超过 3 年的，还应当提交在安徽省内二级甲等以上教学、综合医院接受 3 个月临床护理培训并考核合格的 证明</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sz w:val="21"/>
                <w:szCs w:val="21"/>
                <w:lang w:eastAsia="zh-CN"/>
              </w:rPr>
              <w:t>护士执业注册管理办法（卫生部令第59号）</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重新申请注册的，除按照护士首次注册的规定提交材料外，还需提供在原执业单位中断护理执业活动未超过 3 年的证明；中断护理执业活动超过 3 年的，还应当提交在安徽省内二级甲等以上教学、综合医院接受 3 个月临床护理培训并考核合格的</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证明。</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tcBorders>
              <w:top w:val="single" w:color="auto" w:sz="4" w:space="0"/>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sz w:val="28"/>
                <w:szCs w:val="28"/>
                <w:lang w:eastAsia="zh-CN"/>
              </w:rPr>
              <w:t>护士延续注册</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280" w:firstLineChars="1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val="en-US" w:eastAsia="zh-CN"/>
              </w:rPr>
              <w:t>行政许可</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sz w:val="21"/>
                <w:szCs w:val="21"/>
                <w:lang w:eastAsia="zh-CN"/>
              </w:rPr>
              <w:t>申请人的《护士执业证书》，二级及以上设立健康体检科的综合医院、中医院、专科 医院出具的申请人 6 个月内健康体检证明原件（粘贴照片 1 张）</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sz w:val="28"/>
                <w:szCs w:val="28"/>
                <w:lang w:eastAsia="zh-CN"/>
              </w:rPr>
              <w:t>《护士执业注册管理办法》第十条　护士执业注册有效期为5年。护士执业注册有效期届满需要继续执业的，应当在有效期届满前30日，向原注册部门申请延续注册。（二）申请人的《护士执业证书》</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tcBorders>
              <w:top w:val="single" w:color="auto" w:sz="4" w:space="0"/>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sz w:val="28"/>
                <w:szCs w:val="28"/>
                <w:lang w:eastAsia="zh-CN"/>
              </w:rPr>
              <w:t>护士证书吊销处罚满2年后重新注册</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280" w:firstLineChars="1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val="en-US" w:eastAsia="zh-CN"/>
              </w:rPr>
              <w:t>行政许可</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sz w:val="21"/>
                <w:szCs w:val="21"/>
                <w:lang w:eastAsia="zh-CN"/>
              </w:rPr>
              <w:t>护士执业注册申请审核表，二级及以上设立健康体检科的综合医院、中医院、专科 医院出具的申请人 6 个月内健康体检证明原件（粘贴照片 1 张），申请人身份证明、申请人毕业证书、正面免冠白底小二寸彩色近照，原执业单位中断护理执业活动未超过 3 年的证明；中断护理执业活动超过 3 年的，还应当提交在安徽省内二级甲等以上教学、综合医院接受 3 个月临床护理培训并考核合格的 证明</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sz w:val="28"/>
                <w:szCs w:val="28"/>
                <w:lang w:eastAsia="zh-CN"/>
              </w:rPr>
              <w:t>护士执业注册管理办法（卫生部令第59号）</w:t>
            </w:r>
            <w:r>
              <w:rPr>
                <w:rFonts w:hint="eastAsia" w:ascii="仿宋" w:hAnsi="仿宋" w:eastAsia="仿宋" w:cs="仿宋"/>
                <w:b w:val="0"/>
                <w:bCs w:val="0"/>
                <w:sz w:val="28"/>
                <w:szCs w:val="28"/>
                <w:lang w:eastAsia="zh-CN"/>
              </w:rPr>
              <w:br w:type="textWrapping"/>
            </w:r>
            <w:r>
              <w:rPr>
                <w:rFonts w:hint="eastAsia" w:ascii="仿宋" w:hAnsi="仿宋" w:eastAsia="仿宋" w:cs="仿宋"/>
                <w:b w:val="0"/>
                <w:bCs w:val="0"/>
                <w:sz w:val="28"/>
                <w:szCs w:val="28"/>
                <w:lang w:eastAsia="zh-CN"/>
              </w:rPr>
              <w:t>重新申请注册的，除按照护士首次注册的规定提交材料外，还需提供在原执业单位中断护理执业活动未超过 3 年的证明；中断护理执业活动超过 3 年的，还应当提交在安徽省内二级甲等以上教学、综合医院接受 3 个月临床护理培训并考核合格的</w:t>
            </w:r>
            <w:r>
              <w:rPr>
                <w:rFonts w:hint="eastAsia" w:ascii="仿宋" w:hAnsi="仿宋" w:eastAsia="仿宋" w:cs="仿宋"/>
                <w:b w:val="0"/>
                <w:bCs w:val="0"/>
                <w:sz w:val="28"/>
                <w:szCs w:val="28"/>
                <w:lang w:eastAsia="zh-CN"/>
              </w:rPr>
              <w:br w:type="textWrapping"/>
            </w:r>
            <w:r>
              <w:rPr>
                <w:rFonts w:hint="eastAsia" w:ascii="仿宋" w:hAnsi="仿宋" w:eastAsia="仿宋" w:cs="仿宋"/>
                <w:b w:val="0"/>
                <w:bCs w:val="0"/>
                <w:sz w:val="28"/>
                <w:szCs w:val="28"/>
                <w:lang w:eastAsia="zh-CN"/>
              </w:rPr>
              <w:t>证明。</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b/>
                <w:bCs/>
                <w:sz w:val="28"/>
                <w:szCs w:val="28"/>
              </w:rPr>
            </w:pPr>
            <w:r>
              <w:rPr>
                <w:rFonts w:hint="eastAsia" w:ascii="仿宋" w:hAnsi="仿宋" w:eastAsia="仿宋" w:cs="仿宋"/>
                <w:sz w:val="28"/>
                <w:szCs w:val="28"/>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tcBorders>
              <w:top w:val="single" w:color="auto" w:sz="4" w:space="0"/>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sz w:val="28"/>
                <w:szCs w:val="28"/>
                <w:lang w:eastAsia="zh-CN"/>
              </w:rPr>
              <w:t>护士证书有效期届满未延续注销注册</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280" w:firstLineChars="1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val="en-US" w:eastAsia="zh-CN"/>
              </w:rPr>
              <w:t>行政许可</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eastAsia="zh-CN"/>
              </w:rPr>
              <w:t>护士注销注册申请审核表，拟被注销人的《护士执业证书》</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sz w:val="21"/>
                <w:szCs w:val="21"/>
                <w:lang w:eastAsia="zh-CN"/>
              </w:rPr>
              <w:t>《护士执业注册管理办法》（卫生部令第59号）第十八条　护士执业注册后有下列情形之一的，原注册部门办理注销执业注册：（一）注册有效期届满未延续注册；（二）受吊销《护士执业证书》处罚；（三）护士死亡或者丧失民事行为能力</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tcBorders>
              <w:top w:val="single" w:color="auto" w:sz="4" w:space="0"/>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sz w:val="28"/>
                <w:szCs w:val="28"/>
                <w:lang w:eastAsia="zh-CN"/>
              </w:rPr>
              <w:t>医疗机构变更登记床位</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280" w:firstLineChars="1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val="en-US" w:eastAsia="zh-CN"/>
              </w:rPr>
              <w:t>行政许可</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eastAsia="zh-CN"/>
              </w:rPr>
              <w:t>《医疗机构申请变更登记注册书》</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sz w:val="21"/>
                <w:szCs w:val="21"/>
                <w:lang w:eastAsia="zh-CN"/>
              </w:rPr>
              <w:t>安徽省卫生和计划生育委员会医疗机构许可办理工作程序、安徽省卫生和计划生育委员会医疗机构许可工作规范</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tcBorders>
              <w:top w:val="single" w:color="auto" w:sz="4" w:space="0"/>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sz w:val="28"/>
                <w:szCs w:val="28"/>
                <w:lang w:eastAsia="zh-CN"/>
              </w:rPr>
              <w:t>医疗机构法定代表人变更</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280" w:firstLineChars="1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val="en-US" w:eastAsia="zh-CN"/>
              </w:rPr>
              <w:t>行政许可</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sz w:val="21"/>
                <w:szCs w:val="21"/>
                <w:lang w:eastAsia="zh-CN"/>
              </w:rPr>
              <w:t>医疗机构申请变更登记注册书，医疗机构执业许可证副本</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sz w:val="21"/>
                <w:szCs w:val="21"/>
                <w:lang w:eastAsia="zh-CN"/>
              </w:rPr>
              <w:t>安徽省卫生和计划生育委员会医疗机构许可办理工作程序、安徽省卫生和计划生育委员会医疗机构许可工作规范</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tcBorders>
              <w:top w:val="single" w:color="auto" w:sz="4" w:space="0"/>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sz w:val="28"/>
                <w:szCs w:val="28"/>
                <w:lang w:eastAsia="zh-CN"/>
              </w:rPr>
              <w:t>医疗机构执业登记注册</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280" w:firstLineChars="1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val="en-US" w:eastAsia="zh-CN"/>
              </w:rPr>
              <w:t>行政许可</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sz w:val="21"/>
                <w:szCs w:val="21"/>
                <w:lang w:eastAsia="zh-CN"/>
              </w:rPr>
              <w:t>医疗机构建筑设计平面图，专业技术资格证，医疗机构设备清单，《医疗机构申请执业登记注册书》，《设置医疗机构批准书》，房产证明或使用证明，消防验收合格或备案证明，医疗机构规章制度法定代表任职证明、身份证复印件、签字表，科室设置以及各科室负责人名录和有关资格证书、执业证书复印件</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sz w:val="28"/>
                <w:szCs w:val="28"/>
                <w:lang w:eastAsia="zh-CN"/>
              </w:rPr>
              <w:t>《医疗机构管理条例实施细则》第25条</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tcBorders>
              <w:top w:val="single" w:color="auto" w:sz="4" w:space="0"/>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sz w:val="28"/>
                <w:szCs w:val="28"/>
                <w:lang w:eastAsia="zh-CN"/>
              </w:rPr>
              <w:t>医疗机构执业登记校验</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280" w:firstLineChars="1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val="en-US" w:eastAsia="zh-CN"/>
              </w:rPr>
              <w:t>行政许可</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eastAsia="zh-CN"/>
              </w:rPr>
              <w:t>属地卫生行政部门对医疗机构不良行为积分记录，《医疗机构校验申请书》</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sz w:val="28"/>
                <w:szCs w:val="28"/>
                <w:lang w:eastAsia="zh-CN"/>
              </w:rPr>
              <w:t>安徽省医疗机构校验管理暂行办法，＜安徽省医疗机构校验管理暂行办法＞＜医疗机构校验管理办法（试行）＞(卫医政发〔2009〕57号)＜许可工作规范</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tcBorders>
              <w:top w:val="single" w:color="auto" w:sz="4" w:space="0"/>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sz w:val="28"/>
                <w:szCs w:val="28"/>
                <w:lang w:eastAsia="zh-CN"/>
              </w:rPr>
              <w:t>医疗机构执业登记行政区划地址变更</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280" w:firstLineChars="1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val="en-US" w:eastAsia="zh-CN"/>
              </w:rPr>
              <w:t>行政许可</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eastAsia="zh-CN"/>
              </w:rPr>
              <w:t>属地卫生行政部门对医疗机构不良行为积分记录，《医疗机构校验申请书》</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sz w:val="28"/>
                <w:szCs w:val="28"/>
                <w:lang w:eastAsia="zh-CN"/>
              </w:rPr>
              <w:t>安徽省医疗机构校验管理暂行办法</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93"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tcBorders>
              <w:top w:val="single" w:color="auto" w:sz="4" w:space="0"/>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sz w:val="28"/>
                <w:szCs w:val="28"/>
                <w:lang w:eastAsia="zh-CN"/>
              </w:rPr>
              <w:t>医疗机构执业登记注销</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280" w:firstLineChars="1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val="en-US" w:eastAsia="zh-CN"/>
              </w:rPr>
              <w:t>行政许可</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eastAsia="zh-CN"/>
              </w:rPr>
              <w:t>医疗机构注销申请，执业许可证正副本</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sz w:val="28"/>
                <w:szCs w:val="28"/>
                <w:lang w:eastAsia="zh-CN"/>
              </w:rPr>
              <w:t>医疗机构管理条例实施细则第三十七条 医疗机构有下列情形之一的，登记机关可以根据情况，给予一至六个月的暂缓校验期：</w:t>
            </w:r>
            <w:r>
              <w:rPr>
                <w:rFonts w:hint="eastAsia" w:ascii="仿宋" w:hAnsi="仿宋" w:eastAsia="仿宋" w:cs="仿宋"/>
                <w:b w:val="0"/>
                <w:bCs w:val="0"/>
                <w:sz w:val="28"/>
                <w:szCs w:val="28"/>
                <w:lang w:eastAsia="zh-CN"/>
              </w:rPr>
              <w:br w:type="textWrapping"/>
            </w:r>
            <w:r>
              <w:rPr>
                <w:rFonts w:hint="eastAsia" w:ascii="仿宋" w:hAnsi="仿宋" w:eastAsia="仿宋" w:cs="仿宋"/>
                <w:b w:val="0"/>
                <w:bCs w:val="0"/>
                <w:sz w:val="28"/>
                <w:szCs w:val="28"/>
                <w:lang w:eastAsia="zh-CN"/>
              </w:rPr>
              <w:t>（一）不符合《医疗机构基本标准》；</w:t>
            </w:r>
            <w:r>
              <w:rPr>
                <w:rFonts w:hint="eastAsia" w:ascii="仿宋" w:hAnsi="仿宋" w:eastAsia="仿宋" w:cs="仿宋"/>
                <w:b w:val="0"/>
                <w:bCs w:val="0"/>
                <w:sz w:val="28"/>
                <w:szCs w:val="28"/>
                <w:lang w:eastAsia="zh-CN"/>
              </w:rPr>
              <w:br w:type="textWrapping"/>
            </w:r>
            <w:r>
              <w:rPr>
                <w:rFonts w:hint="eastAsia" w:ascii="仿宋" w:hAnsi="仿宋" w:eastAsia="仿宋" w:cs="仿宋"/>
                <w:b w:val="0"/>
                <w:bCs w:val="0"/>
                <w:sz w:val="28"/>
                <w:szCs w:val="28"/>
                <w:lang w:eastAsia="zh-CN"/>
              </w:rPr>
              <w:t>（二）限期改正期间；</w:t>
            </w:r>
            <w:r>
              <w:rPr>
                <w:rFonts w:hint="eastAsia" w:ascii="仿宋" w:hAnsi="仿宋" w:eastAsia="仿宋" w:cs="仿宋"/>
                <w:b w:val="0"/>
                <w:bCs w:val="0"/>
                <w:sz w:val="28"/>
                <w:szCs w:val="28"/>
                <w:lang w:eastAsia="zh-CN"/>
              </w:rPr>
              <w:br w:type="textWrapping"/>
            </w:r>
            <w:r>
              <w:rPr>
                <w:rFonts w:hint="eastAsia" w:ascii="仿宋" w:hAnsi="仿宋" w:eastAsia="仿宋" w:cs="仿宋"/>
                <w:b w:val="0"/>
                <w:bCs w:val="0"/>
                <w:sz w:val="28"/>
                <w:szCs w:val="28"/>
                <w:lang w:eastAsia="zh-CN"/>
              </w:rPr>
              <w:t>（三）省、自治区、直辖市卫生行政部门规定的其他情形。</w:t>
            </w:r>
            <w:r>
              <w:rPr>
                <w:rFonts w:hint="eastAsia" w:ascii="仿宋" w:hAnsi="仿宋" w:eastAsia="仿宋" w:cs="仿宋"/>
                <w:b w:val="0"/>
                <w:bCs w:val="0"/>
                <w:sz w:val="28"/>
                <w:szCs w:val="28"/>
                <w:lang w:eastAsia="zh-CN"/>
              </w:rPr>
              <w:br w:type="textWrapping"/>
            </w:r>
            <w:r>
              <w:rPr>
                <w:rFonts w:hint="eastAsia" w:ascii="仿宋" w:hAnsi="仿宋" w:eastAsia="仿宋" w:cs="仿宋"/>
                <w:b w:val="0"/>
                <w:bCs w:val="0"/>
                <w:sz w:val="28"/>
                <w:szCs w:val="28"/>
                <w:lang w:eastAsia="zh-CN"/>
              </w:rPr>
              <w:t>不设床位的医疗机构在暂缓校验期内不得执业。</w:t>
            </w:r>
            <w:r>
              <w:rPr>
                <w:rFonts w:hint="eastAsia" w:ascii="仿宋" w:hAnsi="仿宋" w:eastAsia="仿宋" w:cs="仿宋"/>
                <w:b w:val="0"/>
                <w:bCs w:val="0"/>
                <w:sz w:val="28"/>
                <w:szCs w:val="28"/>
                <w:lang w:eastAsia="zh-CN"/>
              </w:rPr>
              <w:br w:type="textWrapping"/>
            </w:r>
            <w:r>
              <w:rPr>
                <w:rFonts w:hint="eastAsia" w:ascii="仿宋" w:hAnsi="仿宋" w:eastAsia="仿宋" w:cs="仿宋"/>
                <w:b w:val="0"/>
                <w:bCs w:val="0"/>
                <w:sz w:val="28"/>
                <w:szCs w:val="28"/>
                <w:lang w:eastAsia="zh-CN"/>
              </w:rPr>
              <w:t>暂缓校验期满仍不能通过校验的，由登记机关注销其《医疗机构执业许可证》</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tcBorders>
              <w:top w:val="single" w:color="auto" w:sz="4" w:space="0"/>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sz w:val="28"/>
                <w:szCs w:val="28"/>
                <w:lang w:eastAsia="zh-CN"/>
              </w:rPr>
              <w:t>医疗机构执业登记变更诊疗科目</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280" w:firstLineChars="1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val="en-US" w:eastAsia="zh-CN"/>
              </w:rPr>
              <w:t>行政许可</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eastAsia="zh-CN"/>
              </w:rPr>
              <w:t>《医疗机构申请执业登记注册书》，新增诊疗科目人员和设备清单</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sz w:val="28"/>
                <w:szCs w:val="28"/>
                <w:lang w:eastAsia="zh-CN"/>
              </w:rPr>
              <w:t>安徽省卫生和计划生育委员会医疗机构许可办理工作程序、安徽省卫生和计划生育委员会医疗机构许可工作规范</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tcBorders>
              <w:top w:val="single" w:color="auto" w:sz="4" w:space="0"/>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sz w:val="28"/>
                <w:szCs w:val="28"/>
                <w:lang w:eastAsia="zh-CN"/>
              </w:rPr>
              <w:t>节育手术并发症鉴定</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280" w:firstLineChars="1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val="en-US" w:eastAsia="zh-CN"/>
              </w:rPr>
              <w:t>行政确认</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eastAsia="zh-CN"/>
              </w:rPr>
              <w:t>中华人民共和国居民身份证，婚姻证明，接受计划生育手术的证明，并发症鉴定申请表，医疗机构执业许可证，施术人员资质证明</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sz w:val="28"/>
                <w:szCs w:val="28"/>
                <w:lang w:eastAsia="zh-CN"/>
              </w:rPr>
              <w:t>《国家人口计生委关于印发计划生育手术并发症鉴定管理办法（试行）的通知》</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tcBorders>
              <w:top w:val="single" w:color="auto" w:sz="4" w:space="0"/>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sz w:val="28"/>
                <w:szCs w:val="28"/>
                <w:lang w:eastAsia="zh-CN"/>
              </w:rPr>
              <w:t>承担预防接种工作的医疗卫生机构（接种单位）的确认</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280" w:firstLineChars="1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val="en-US" w:eastAsia="zh-CN"/>
              </w:rPr>
              <w:t>行政确认</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eastAsia="zh-CN"/>
              </w:rPr>
              <w:t>安徽省规范化预防接种门诊评审 申请表</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sz w:val="28"/>
                <w:szCs w:val="28"/>
                <w:lang w:eastAsia="zh-CN"/>
              </w:rPr>
              <w:t>《安徽省规范化预防接种门诊评审标准》</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40"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tcBorders>
              <w:top w:val="single" w:color="auto" w:sz="4" w:space="0"/>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sz w:val="28"/>
                <w:szCs w:val="28"/>
                <w:lang w:eastAsia="zh-CN"/>
              </w:rPr>
              <w:t>“两非”案件举报奖励</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280" w:firstLineChars="1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val="en-US" w:eastAsia="zh-CN"/>
              </w:rPr>
              <w:t>行政奖励</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eastAsia="zh-CN"/>
              </w:rPr>
              <w:t>中华人民共和国居民身份证，其他</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sz w:val="28"/>
                <w:szCs w:val="28"/>
                <w:lang w:eastAsia="zh-CN"/>
              </w:rPr>
              <w:t>《安徽省禁止非医学需要鉴定胎儿性别和选择性终止妊娠的规定》第十六条对举报非法鉴定胎儿性别、选择性别终止妊娠的行为，经查证属实的，给予举报人予以奖励</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取消</w:t>
            </w: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tcBorders>
              <w:top w:val="single" w:color="auto" w:sz="4" w:space="0"/>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sz w:val="28"/>
                <w:szCs w:val="28"/>
                <w:lang w:eastAsia="zh-CN"/>
              </w:rPr>
              <w:t>负责县级发证医疗机构的名称裁决</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280" w:firstLineChars="1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val="en-US" w:eastAsia="zh-CN"/>
              </w:rPr>
              <w:t>行政裁决</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eastAsia="zh-CN"/>
              </w:rPr>
              <w:t>申请人资质证明，医疗机构名称申请核定表</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sz w:val="28"/>
                <w:szCs w:val="28"/>
                <w:lang w:eastAsia="zh-CN"/>
              </w:rPr>
              <w:t>《医疗机构管理条例实施细则》（卫生部令1994年第35号）第四十九条</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tcBorders>
              <w:top w:val="single" w:color="auto" w:sz="4" w:space="0"/>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领取独生子女父母光荣证的企业退休职工一次性奖励资格确认</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8"/>
                <w:szCs w:val="28"/>
                <w:lang w:val="en-US" w:eastAsia="zh-CN" w:bidi="ar-SA"/>
              </w:rPr>
            </w:pP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280" w:firstLineChars="1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val="en-US" w:eastAsia="zh-CN"/>
              </w:rPr>
              <w:t>公共服务</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1"/>
                <w:szCs w:val="21"/>
                <w:lang w:eastAsia="zh-CN"/>
              </w:rPr>
              <w:t>独生子女父母光荣证，XX市独生子女父母退休一次性奖励申请审核表，中华人民共和国居民身份证，中华人民共和国居民户口簿，中华人民共和国退休证，申请人银行卡</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sz w:val="28"/>
                <w:szCs w:val="28"/>
                <w:lang w:eastAsia="zh-CN"/>
              </w:rPr>
              <w:t>各市关于对持独生子女父母光荣证退休的企业职工实行一次性奖励的实施意见</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tcBorders>
              <w:top w:val="single" w:color="auto" w:sz="4" w:space="0"/>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sz w:val="28"/>
                <w:szCs w:val="28"/>
                <w:lang w:eastAsia="zh-CN"/>
              </w:rPr>
              <w:t>公共场所卫生许可证遗失补发</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280" w:firstLineChars="1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val="en-US" w:eastAsia="zh-CN"/>
              </w:rPr>
              <w:t>公共服务</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eastAsia="zh-CN"/>
              </w:rPr>
              <w:t>登报（遗失声明），营业执照，法人身份证</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sz w:val="28"/>
                <w:szCs w:val="28"/>
                <w:lang w:eastAsia="zh-CN"/>
              </w:rPr>
              <w:t>《关于进一步做好公共场所卫生行政许可工作的通知》（卫监督秘〔2013〕143号）</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tcBorders>
              <w:top w:val="single" w:color="auto" w:sz="4" w:space="0"/>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sz w:val="28"/>
                <w:szCs w:val="28"/>
                <w:lang w:eastAsia="zh-CN"/>
              </w:rPr>
              <w:t>母婴保健和计划生育技术服务执业许可证遗失、损毁补（换）发</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280" w:firstLineChars="1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val="en-US" w:eastAsia="zh-CN"/>
              </w:rPr>
              <w:t>公共服务</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eastAsia="zh-CN"/>
              </w:rPr>
              <w:t>登报（遗失声明），单位申请，单位法定代表人身份证</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sz w:val="28"/>
                <w:szCs w:val="28"/>
                <w:lang w:eastAsia="zh-CN"/>
              </w:rPr>
              <w:t>企业群众实际需要，已常态化开展。</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85"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tcBorders>
              <w:top w:val="single" w:color="auto" w:sz="4" w:space="0"/>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sz w:val="28"/>
                <w:szCs w:val="28"/>
                <w:lang w:eastAsia="zh-CN"/>
              </w:rPr>
              <w:t>医疗机构执业许可证遗失补发</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280" w:firstLineChars="1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val="en-US" w:eastAsia="zh-CN"/>
              </w:rPr>
              <w:t>公共服务</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eastAsia="zh-CN"/>
              </w:rPr>
              <w:t>《医疗机构执业许可证》遗失补办申请</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sz w:val="21"/>
                <w:szCs w:val="21"/>
                <w:lang w:eastAsia="zh-CN"/>
              </w:rPr>
              <w:t>《医疗机构管理条例》 第三章第23条：《医疗机构执业许可证》不得伪造、涂改、出卖、转让、出借。《医疗机构执业许可证》遗失的，应当及时申明，并向原登记机关申请补发。</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tcBorders>
              <w:top w:val="single" w:color="auto" w:sz="4" w:space="0"/>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sz w:val="28"/>
                <w:szCs w:val="28"/>
                <w:lang w:eastAsia="zh-CN"/>
              </w:rPr>
              <w:t>计生家庭奖励扶助资格确认</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280" w:firstLineChars="1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val="en-US" w:eastAsia="zh-CN"/>
              </w:rPr>
              <w:t>公共服务</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w w:val="80"/>
                <w:sz w:val="21"/>
                <w:szCs w:val="21"/>
                <w:lang w:eastAsia="zh-CN"/>
              </w:rPr>
              <w:t>安徽省农村计划生育家庭奖励扶助对象申报表，本人近照，身份证，户口簿，安徽省农村计划生育家庭奖励扶助对象评议表，安徽省农村计划生育家庭奖励扶助对象审核表</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sz w:val="28"/>
                <w:szCs w:val="28"/>
                <w:lang w:eastAsia="zh-CN"/>
              </w:rPr>
              <w:t>《安徽省农村计划生育家庭奖励扶助制度管理规范》</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15"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tcBorders>
              <w:top w:val="single" w:color="auto" w:sz="4" w:space="0"/>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sz w:val="28"/>
                <w:szCs w:val="28"/>
                <w:lang w:eastAsia="zh-CN"/>
              </w:rPr>
              <w:t>失独计划生育困难家庭紧急慰藉金发放</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280" w:firstLineChars="1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val="en-US" w:eastAsia="zh-CN"/>
              </w:rPr>
              <w:t>公共服务</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eastAsia="zh-CN"/>
              </w:rPr>
              <w:t>独生子女父母光荣证，申报表，中华人民共和国居民身份证，中华人民共和国居民户口簿，一卡通，独生子女死亡证明，子女死亡三级证明</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sz w:val="28"/>
                <w:szCs w:val="28"/>
                <w:lang w:eastAsia="zh-CN"/>
              </w:rPr>
              <w:t>《关于进一步做好计划生育特殊困难家庭扶住工作的意见》（皖政办（2014）</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tcBorders>
              <w:top w:val="single" w:color="auto" w:sz="4" w:space="0"/>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sz w:val="28"/>
                <w:szCs w:val="28"/>
                <w:lang w:eastAsia="zh-CN"/>
              </w:rPr>
              <w:t>退出村医身份、工龄认定及补助发放</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280" w:firstLineChars="1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val="en-US" w:eastAsia="zh-CN"/>
              </w:rPr>
              <w:t>公共服务</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4"/>
                <w:szCs w:val="24"/>
                <w:lang w:eastAsia="zh-CN"/>
              </w:rPr>
              <w:t>退出村医生活补助身份及工作年限认定申请表，中华人民共和国居民身份证，村医身份工作年限证明材料，中华人民共和国居民户口簿</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sz w:val="28"/>
                <w:szCs w:val="28"/>
                <w:lang w:eastAsia="zh-CN"/>
              </w:rPr>
              <w:t>《安徽省村医到龄退出生活补助发放实施细则》</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tcBorders>
              <w:top w:val="single" w:color="auto" w:sz="4" w:space="0"/>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sz w:val="28"/>
                <w:szCs w:val="28"/>
                <w:lang w:eastAsia="zh-CN"/>
              </w:rPr>
              <w:t>计划生育特殊困难家庭老年护理补贴发放</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280" w:firstLineChars="1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val="en-US" w:eastAsia="zh-CN"/>
              </w:rPr>
              <w:t>公共服务</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1"/>
                <w:szCs w:val="21"/>
                <w:lang w:eastAsia="zh-CN"/>
              </w:rPr>
              <w:t>申报表，中华人民共和国居民身份证，中华人民共和国居民户口簿，一卡通账号</w:t>
            </w:r>
            <w:r>
              <w:rPr>
                <w:rFonts w:hint="eastAsia" w:ascii="微软雅黑" w:hAnsi="微软雅黑" w:eastAsia="微软雅黑" w:cs="微软雅黑"/>
                <w:i w:val="0"/>
                <w:caps w:val="0"/>
                <w:color w:val="606266"/>
                <w:spacing w:val="0"/>
                <w:sz w:val="21"/>
                <w:szCs w:val="21"/>
                <w:shd w:val="clear" w:fill="FFFFFF"/>
              </w:rPr>
              <w:t>）</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sz w:val="28"/>
                <w:szCs w:val="28"/>
                <w:lang w:eastAsia="zh-CN"/>
              </w:rPr>
              <w:t>《安徽省计划生育特殊家庭老年护理补贴制度实施办法》（皖卫办（2014）3号）</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tcBorders>
              <w:top w:val="single" w:color="auto" w:sz="4" w:space="0"/>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sz w:val="28"/>
                <w:szCs w:val="28"/>
                <w:lang w:eastAsia="zh-CN"/>
              </w:rPr>
              <w:t>母婴保健技术考核合格证书遗失、损毁补（换）发</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280" w:firstLineChars="1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val="en-US" w:eastAsia="zh-CN"/>
              </w:rPr>
              <w:t>公共服务</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eastAsia="zh-CN"/>
              </w:rPr>
              <w:t>登报（遗失声明），申请人员的身份证，照片</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sz w:val="28"/>
                <w:szCs w:val="28"/>
                <w:lang w:eastAsia="zh-CN"/>
              </w:rPr>
              <w:t>企业群众实际需要，已常态化开展。</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tcBorders>
              <w:top w:val="single" w:color="auto" w:sz="4" w:space="0"/>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sz w:val="28"/>
                <w:szCs w:val="28"/>
                <w:lang w:eastAsia="zh-CN"/>
              </w:rPr>
              <w:t>计划生育特别扶助（含手术并发症）资格确认</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280" w:firstLineChars="1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val="en-US" w:eastAsia="zh-CN"/>
              </w:rPr>
              <w:t>公共服务</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eastAsia="zh-CN"/>
              </w:rPr>
              <w:t>安徽省计划生育家庭特别扶助对象申报表，本人近照，身份证，户口簿，死亡证明，残疾证并发症鉴定结论（意见）</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sz w:val="28"/>
                <w:szCs w:val="28"/>
                <w:lang w:eastAsia="zh-CN"/>
              </w:rPr>
              <w:t>《计划生育家庭特别扶助实施办法》</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tcBorders>
              <w:top w:val="single" w:color="auto" w:sz="4" w:space="0"/>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sz w:val="28"/>
                <w:szCs w:val="28"/>
                <w:lang w:eastAsia="zh-CN"/>
              </w:rPr>
              <w:t>计生困难家庭、贫困母亲、留守儿童救助资金审核转报</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280" w:firstLineChars="1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val="en-US" w:eastAsia="zh-CN"/>
              </w:rPr>
              <w:t>公共服务</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eastAsia="zh-CN"/>
              </w:rPr>
              <w:t>安徽省人口健康基金会个案申报表</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sz w:val="28"/>
                <w:szCs w:val="28"/>
                <w:lang w:eastAsia="zh-CN"/>
              </w:rPr>
              <w:t>《关于规范人口基金项目信息资料及录入工作的通知》皖计生协〔2017〕30号</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否</w:t>
            </w:r>
          </w:p>
        </w:tc>
      </w:tr>
    </w:tbl>
    <w:p/>
    <w:p>
      <w:pPr>
        <w:jc w:val="center"/>
        <w:rPr>
          <w:rFonts w:hint="default" w:ascii="方正小标宋简体" w:hAnsi="方正小标宋简体" w:eastAsia="方正小标宋简体" w:cs="方正小标宋简体"/>
          <w:spacing w:val="7"/>
          <w:kern w:val="0"/>
          <w:sz w:val="44"/>
          <w:szCs w:val="44"/>
          <w:lang w:val="en-US" w:eastAsia="zh-CN"/>
        </w:rPr>
      </w:pPr>
      <w:r>
        <w:rPr>
          <w:rFonts w:hint="eastAsia" w:ascii="方正小标宋简体" w:hAnsi="方正小标宋简体" w:eastAsia="方正小标宋简体" w:cs="方正小标宋简体"/>
          <w:spacing w:val="7"/>
          <w:kern w:val="0"/>
          <w:sz w:val="44"/>
          <w:szCs w:val="44"/>
          <w:lang w:val="en-US" w:eastAsia="zh-CN"/>
        </w:rPr>
        <w:t>潘集区政务服务事项所需证明材料清理结果一览表</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小标宋简体" w:hAnsi="方正小标宋简体" w:eastAsia="方正小标宋简体" w:cs="方正小标宋简体"/>
          <w:spacing w:val="7"/>
          <w:kern w:val="0"/>
          <w:sz w:val="44"/>
          <w:szCs w:val="44"/>
          <w:lang w:val="en-US" w:eastAsia="zh-CN"/>
        </w:rPr>
      </w:pPr>
    </w:p>
    <w:tbl>
      <w:tblPr>
        <w:tblStyle w:val="4"/>
        <w:tblW w:w="16133" w:type="dxa"/>
        <w:tblInd w:w="-1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47"/>
        <w:gridCol w:w="1979"/>
        <w:gridCol w:w="1979"/>
        <w:gridCol w:w="1981"/>
        <w:gridCol w:w="5381"/>
        <w:gridCol w:w="1053"/>
        <w:gridCol w:w="1054"/>
        <w:gridCol w:w="21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4" w:hRule="atLeast"/>
        </w:trPr>
        <w:tc>
          <w:tcPr>
            <w:tcW w:w="547" w:type="dxa"/>
            <w:vMerge w:val="restart"/>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sz w:val="28"/>
                <w:szCs w:val="28"/>
              </w:rPr>
            </w:pPr>
            <w:r>
              <w:rPr>
                <w:rFonts w:hint="eastAsia" w:ascii="黑体" w:hAnsi="黑体" w:eastAsia="黑体" w:cs="黑体"/>
                <w:sz w:val="28"/>
                <w:szCs w:val="28"/>
              </w:rPr>
              <w:t>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sz w:val="28"/>
                <w:szCs w:val="28"/>
              </w:rPr>
            </w:pPr>
            <w:r>
              <w:rPr>
                <w:rFonts w:hint="eastAsia" w:ascii="黑体" w:hAnsi="黑体" w:eastAsia="黑体" w:cs="黑体"/>
                <w:sz w:val="28"/>
                <w:szCs w:val="28"/>
              </w:rPr>
              <w:t>号</w:t>
            </w:r>
          </w:p>
        </w:tc>
        <w:tc>
          <w:tcPr>
            <w:tcW w:w="1979" w:type="dxa"/>
            <w:vMerge w:val="restart"/>
            <w:tcBorders>
              <w:top w:val="single" w:color="000000" w:sz="2" w:space="0"/>
              <w:left w:val="single" w:color="000000" w:sz="2" w:space="0"/>
              <w:right w:val="single" w:color="auto" w:sz="4"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服务事项</w:t>
            </w:r>
          </w:p>
        </w:tc>
        <w:tc>
          <w:tcPr>
            <w:tcW w:w="1979" w:type="dxa"/>
            <w:vMerge w:val="restart"/>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事项类型</w:t>
            </w:r>
          </w:p>
        </w:tc>
        <w:tc>
          <w:tcPr>
            <w:tcW w:w="1981" w:type="dxa"/>
            <w:vMerge w:val="restart"/>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黑体" w:hAnsi="黑体" w:eastAsia="黑体" w:cs="黑体"/>
                <w:sz w:val="28"/>
                <w:szCs w:val="28"/>
                <w:lang w:val="en-US" w:eastAsia="zh-CN"/>
              </w:rPr>
            </w:pPr>
            <w:r>
              <w:rPr>
                <w:rFonts w:hint="eastAsia" w:ascii="黑体" w:hAnsi="黑体" w:eastAsia="黑体" w:cs="黑体"/>
                <w:sz w:val="28"/>
                <w:szCs w:val="28"/>
              </w:rPr>
              <w:t>证明</w:t>
            </w:r>
            <w:r>
              <w:rPr>
                <w:rFonts w:hint="eastAsia" w:ascii="黑体" w:hAnsi="黑体" w:eastAsia="黑体" w:cs="黑体"/>
                <w:sz w:val="28"/>
                <w:szCs w:val="28"/>
                <w:lang w:val="en-US" w:eastAsia="zh-CN"/>
              </w:rPr>
              <w:t>材料</w:t>
            </w:r>
          </w:p>
        </w:tc>
        <w:tc>
          <w:tcPr>
            <w:tcW w:w="5381" w:type="dxa"/>
            <w:vMerge w:val="restart"/>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sz w:val="28"/>
                <w:szCs w:val="28"/>
              </w:rPr>
            </w:pPr>
            <w:r>
              <w:rPr>
                <w:rFonts w:hint="eastAsia" w:ascii="黑体" w:hAnsi="黑体" w:eastAsia="黑体" w:cs="黑体"/>
                <w:sz w:val="28"/>
                <w:szCs w:val="28"/>
              </w:rPr>
              <w:t>设定依据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sz w:val="28"/>
                <w:szCs w:val="28"/>
              </w:rPr>
            </w:pPr>
            <w:r>
              <w:rPr>
                <w:rFonts w:hint="eastAsia" w:ascii="黑体" w:hAnsi="黑体" w:eastAsia="黑体" w:cs="黑体"/>
                <w:sz w:val="28"/>
                <w:szCs w:val="28"/>
              </w:rPr>
              <w:t>（名称、文号</w:t>
            </w:r>
            <w:r>
              <w:rPr>
                <w:rFonts w:hint="eastAsia" w:ascii="黑体" w:hAnsi="黑体" w:eastAsia="黑体" w:cs="黑体"/>
                <w:sz w:val="28"/>
                <w:szCs w:val="28"/>
                <w:lang w:eastAsia="zh-CN"/>
              </w:rPr>
              <w:t>、条款</w:t>
            </w:r>
            <w:r>
              <w:rPr>
                <w:rFonts w:hint="eastAsia" w:ascii="黑体" w:hAnsi="黑体" w:eastAsia="黑体" w:cs="黑体"/>
                <w:sz w:val="28"/>
                <w:szCs w:val="28"/>
              </w:rPr>
              <w:t>）</w:t>
            </w:r>
          </w:p>
        </w:tc>
        <w:tc>
          <w:tcPr>
            <w:tcW w:w="2107" w:type="dxa"/>
            <w:gridSpan w:val="2"/>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sz w:val="28"/>
                <w:szCs w:val="28"/>
              </w:rPr>
            </w:pPr>
            <w:r>
              <w:rPr>
                <w:rFonts w:hint="eastAsia" w:ascii="黑体" w:hAnsi="黑体" w:eastAsia="黑体" w:cs="黑体"/>
                <w:sz w:val="28"/>
                <w:szCs w:val="28"/>
              </w:rPr>
              <w:t>清理意见</w:t>
            </w:r>
          </w:p>
        </w:tc>
        <w:tc>
          <w:tcPr>
            <w:tcW w:w="2159" w:type="dxa"/>
            <w:vMerge w:val="restart"/>
            <w:tcBorders>
              <w:top w:val="single" w:color="000000" w:sz="2" w:space="0"/>
              <w:left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是否适用告知承诺制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5" w:hRule="atLeast"/>
        </w:trPr>
        <w:tc>
          <w:tcPr>
            <w:tcW w:w="547" w:type="dxa"/>
            <w:vMerge w:val="continue"/>
            <w:tcBorders>
              <w:top w:val="single" w:color="000000" w:sz="2"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黑体" w:hAnsi="黑体" w:eastAsia="黑体" w:cs="黑体"/>
                <w:sz w:val="28"/>
                <w:szCs w:val="28"/>
              </w:rPr>
            </w:pPr>
          </w:p>
        </w:tc>
        <w:tc>
          <w:tcPr>
            <w:tcW w:w="1979" w:type="dxa"/>
            <w:vMerge w:val="continue"/>
            <w:tcBorders>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黑体" w:hAnsi="黑体" w:eastAsia="黑体" w:cs="黑体"/>
                <w:sz w:val="28"/>
                <w:szCs w:val="28"/>
              </w:rPr>
            </w:pPr>
          </w:p>
        </w:tc>
        <w:tc>
          <w:tcPr>
            <w:tcW w:w="1979" w:type="dxa"/>
            <w:vMerge w:val="continue"/>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黑体" w:hAnsi="黑体" w:eastAsia="黑体" w:cs="黑体"/>
                <w:sz w:val="28"/>
                <w:szCs w:val="28"/>
              </w:rPr>
            </w:pPr>
          </w:p>
        </w:tc>
        <w:tc>
          <w:tcPr>
            <w:tcW w:w="1981" w:type="dxa"/>
            <w:vMerge w:val="continue"/>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黑体" w:hAnsi="黑体" w:eastAsia="黑体" w:cs="黑体"/>
                <w:sz w:val="28"/>
                <w:szCs w:val="28"/>
              </w:rPr>
            </w:pPr>
          </w:p>
        </w:tc>
        <w:tc>
          <w:tcPr>
            <w:tcW w:w="5381" w:type="dxa"/>
            <w:vMerge w:val="continue"/>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黑体" w:hAnsi="黑体" w:eastAsia="黑体" w:cs="黑体"/>
                <w:sz w:val="28"/>
                <w:szCs w:val="28"/>
              </w:rPr>
            </w:pP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sz w:val="28"/>
                <w:szCs w:val="28"/>
                <w:lang w:eastAsia="zh-CN"/>
              </w:rPr>
            </w:pPr>
            <w:r>
              <w:rPr>
                <w:rFonts w:hint="eastAsia" w:ascii="黑体" w:hAnsi="黑体" w:eastAsia="黑体" w:cs="黑体"/>
                <w:sz w:val="28"/>
                <w:szCs w:val="28"/>
                <w:lang w:val="en-US" w:eastAsia="zh-CN"/>
              </w:rPr>
              <w:t>取消</w:t>
            </w:r>
          </w:p>
        </w:tc>
        <w:tc>
          <w:tcPr>
            <w:tcW w:w="1054" w:type="dxa"/>
            <w:tcBorders>
              <w:top w:val="single" w:color="000000" w:sz="2"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sz w:val="28"/>
                <w:szCs w:val="28"/>
              </w:rPr>
            </w:pPr>
            <w:r>
              <w:rPr>
                <w:rFonts w:hint="eastAsia" w:ascii="黑体" w:hAnsi="黑体" w:eastAsia="黑体" w:cs="黑体"/>
                <w:sz w:val="28"/>
                <w:szCs w:val="28"/>
              </w:rPr>
              <w:t>保留</w:t>
            </w:r>
          </w:p>
        </w:tc>
        <w:tc>
          <w:tcPr>
            <w:tcW w:w="2159" w:type="dxa"/>
            <w:vMerge w:val="continue"/>
            <w:tcBorders>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trPr>
        <w:tc>
          <w:tcPr>
            <w:tcW w:w="16133" w:type="dxa"/>
            <w:gridSpan w:val="8"/>
            <w:tcBorders>
              <w:top w:val="single" w:color="000000" w:sz="2"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区应急管理局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0" w:hRule="atLeast"/>
        </w:trPr>
        <w:tc>
          <w:tcPr>
            <w:tcW w:w="547"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p>
        </w:tc>
        <w:tc>
          <w:tcPr>
            <w:tcW w:w="1979" w:type="dxa"/>
            <w:tcBorders>
              <w:top w:val="single" w:color="auto" w:sz="4" w:space="0"/>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危险化学品经营许可证有效期内变更企业主要负责人</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行政许可</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申请变更化学品经营许可证的文件及申请书</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1"/>
                <w:szCs w:val="21"/>
              </w:rPr>
            </w:pP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0" w:hRule="atLeast"/>
        </w:trPr>
        <w:tc>
          <w:tcPr>
            <w:tcW w:w="547"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p>
        </w:tc>
        <w:tc>
          <w:tcPr>
            <w:tcW w:w="1979" w:type="dxa"/>
            <w:tcBorders>
              <w:top w:val="single" w:color="auto" w:sz="4" w:space="0"/>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危险化学品经营许可证有效期内变更企业注册地址</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行政许可</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申请变更化学品经营许可证的文件及申请书</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《危险化学品经营许可证管理办法》（国家安全监管总局令第55号</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40" w:hRule="atLeast"/>
        </w:trPr>
        <w:tc>
          <w:tcPr>
            <w:tcW w:w="547"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p>
        </w:tc>
        <w:tc>
          <w:tcPr>
            <w:tcW w:w="1979" w:type="dxa"/>
            <w:tcBorders>
              <w:top w:val="single" w:color="auto" w:sz="4" w:space="0"/>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危险化学品经营许可证有效期内变更企业名称</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sz w:val="28"/>
                <w:szCs w:val="28"/>
              </w:rPr>
              <w:t>行政许可</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sz w:val="28"/>
                <w:szCs w:val="28"/>
              </w:rPr>
              <w:t>申请变更化学品经营许可证的文件及申请书</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1"/>
                <w:szCs w:val="21"/>
              </w:rPr>
            </w:pP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13" w:hRule="atLeast"/>
        </w:trPr>
        <w:tc>
          <w:tcPr>
            <w:tcW w:w="547"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p>
        </w:tc>
        <w:tc>
          <w:tcPr>
            <w:tcW w:w="1979" w:type="dxa"/>
            <w:tcBorders>
              <w:top w:val="single" w:color="auto" w:sz="4" w:space="0"/>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危险化学品经营许可证有效期内注销</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行政许可</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申请注销化学品经营许可证的文件</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1"/>
                <w:szCs w:val="21"/>
              </w:rPr>
            </w:pP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9" w:hRule="atLeast"/>
        </w:trPr>
        <w:tc>
          <w:tcPr>
            <w:tcW w:w="547" w:type="dxa"/>
            <w:vMerge w:val="restart"/>
            <w:tcBorders>
              <w:top w:val="single" w:color="auto" w:sz="4" w:space="0"/>
              <w:left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sz w:val="28"/>
                <w:szCs w:val="28"/>
              </w:rPr>
            </w:pPr>
            <w:r>
              <w:rPr>
                <w:rFonts w:hint="eastAsia" w:ascii="黑体" w:hAnsi="黑体" w:eastAsia="黑体" w:cs="黑体"/>
                <w:sz w:val="28"/>
                <w:szCs w:val="28"/>
              </w:rPr>
              <w:t>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黑体" w:hAnsi="黑体" w:eastAsia="黑体" w:cs="黑体"/>
                <w:color w:val="auto"/>
                <w:kern w:val="0"/>
                <w:sz w:val="28"/>
                <w:szCs w:val="28"/>
                <w:lang w:val="en-US" w:eastAsia="zh-CN" w:bidi="ar"/>
              </w:rPr>
            </w:pPr>
            <w:r>
              <w:rPr>
                <w:rFonts w:hint="eastAsia" w:ascii="黑体" w:hAnsi="黑体" w:eastAsia="黑体" w:cs="黑体"/>
                <w:sz w:val="28"/>
                <w:szCs w:val="28"/>
              </w:rPr>
              <w:t>号</w:t>
            </w:r>
          </w:p>
        </w:tc>
        <w:tc>
          <w:tcPr>
            <w:tcW w:w="1979" w:type="dxa"/>
            <w:vMerge w:val="restart"/>
            <w:tcBorders>
              <w:top w:val="single" w:color="auto" w:sz="4" w:space="0"/>
              <w:left w:val="single" w:color="000000" w:sz="2" w:space="0"/>
              <w:right w:val="single" w:color="auto" w:sz="4"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黑体" w:hAnsi="黑体" w:eastAsia="黑体" w:cs="黑体"/>
                <w:color w:val="auto"/>
                <w:kern w:val="0"/>
                <w:sz w:val="28"/>
                <w:szCs w:val="28"/>
                <w:lang w:val="en-US" w:eastAsia="zh-CN" w:bidi="ar"/>
              </w:rPr>
            </w:pPr>
            <w:r>
              <w:rPr>
                <w:rFonts w:hint="eastAsia" w:ascii="黑体" w:hAnsi="黑体" w:eastAsia="黑体" w:cs="黑体"/>
                <w:sz w:val="28"/>
                <w:szCs w:val="28"/>
                <w:lang w:val="en-US" w:eastAsia="zh-CN"/>
              </w:rPr>
              <w:t>服务事项</w:t>
            </w:r>
          </w:p>
        </w:tc>
        <w:tc>
          <w:tcPr>
            <w:tcW w:w="1979" w:type="dxa"/>
            <w:vMerge w:val="restart"/>
            <w:tcBorders>
              <w:top w:val="single" w:color="000000" w:sz="2" w:space="0"/>
              <w:left w:val="single" w:color="auto" w:sz="4" w:space="0"/>
              <w:right w:val="single" w:color="auto" w:sz="4"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黑体" w:hAnsi="黑体" w:eastAsia="黑体" w:cs="黑体"/>
                <w:color w:val="auto"/>
                <w:kern w:val="0"/>
                <w:sz w:val="28"/>
                <w:szCs w:val="28"/>
                <w:lang w:val="en-US" w:eastAsia="zh-CN" w:bidi="ar"/>
              </w:rPr>
            </w:pPr>
            <w:r>
              <w:rPr>
                <w:rFonts w:hint="eastAsia" w:ascii="黑体" w:hAnsi="黑体" w:eastAsia="黑体" w:cs="黑体"/>
                <w:sz w:val="28"/>
                <w:szCs w:val="28"/>
                <w:lang w:val="en-US" w:eastAsia="zh-CN"/>
              </w:rPr>
              <w:t>事项类型</w:t>
            </w:r>
          </w:p>
        </w:tc>
        <w:tc>
          <w:tcPr>
            <w:tcW w:w="1981" w:type="dxa"/>
            <w:vMerge w:val="restart"/>
            <w:tcBorders>
              <w:top w:val="single" w:color="000000" w:sz="2" w:space="0"/>
              <w:left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黑体" w:hAnsi="黑体" w:eastAsia="黑体" w:cs="黑体"/>
                <w:color w:val="auto"/>
                <w:kern w:val="0"/>
                <w:sz w:val="28"/>
                <w:szCs w:val="28"/>
                <w:lang w:val="en-US" w:eastAsia="zh-CN" w:bidi="ar"/>
              </w:rPr>
            </w:pPr>
            <w:r>
              <w:rPr>
                <w:rFonts w:hint="eastAsia" w:ascii="黑体" w:hAnsi="黑体" w:eastAsia="黑体" w:cs="黑体"/>
                <w:sz w:val="28"/>
                <w:szCs w:val="28"/>
              </w:rPr>
              <w:t>证明</w:t>
            </w:r>
            <w:r>
              <w:rPr>
                <w:rFonts w:hint="eastAsia" w:ascii="黑体" w:hAnsi="黑体" w:eastAsia="黑体" w:cs="黑体"/>
                <w:sz w:val="28"/>
                <w:szCs w:val="28"/>
                <w:lang w:val="en-US" w:eastAsia="zh-CN"/>
              </w:rPr>
              <w:t>材料</w:t>
            </w:r>
          </w:p>
        </w:tc>
        <w:tc>
          <w:tcPr>
            <w:tcW w:w="5381" w:type="dxa"/>
            <w:vMerge w:val="restart"/>
            <w:tcBorders>
              <w:top w:val="single" w:color="000000" w:sz="2" w:space="0"/>
              <w:left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sz w:val="28"/>
                <w:szCs w:val="28"/>
              </w:rPr>
            </w:pPr>
            <w:r>
              <w:rPr>
                <w:rFonts w:hint="eastAsia" w:ascii="黑体" w:hAnsi="黑体" w:eastAsia="黑体" w:cs="黑体"/>
                <w:sz w:val="28"/>
                <w:szCs w:val="28"/>
              </w:rPr>
              <w:t>设定依据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黑体" w:hAnsi="黑体" w:eastAsia="黑体" w:cs="黑体"/>
                <w:color w:val="auto"/>
                <w:kern w:val="0"/>
                <w:sz w:val="28"/>
                <w:szCs w:val="28"/>
                <w:lang w:val="en-US" w:eastAsia="zh-CN" w:bidi="ar"/>
              </w:rPr>
            </w:pPr>
            <w:r>
              <w:rPr>
                <w:rFonts w:hint="eastAsia" w:ascii="黑体" w:hAnsi="黑体" w:eastAsia="黑体" w:cs="黑体"/>
                <w:sz w:val="28"/>
                <w:szCs w:val="28"/>
              </w:rPr>
              <w:t>（名称、文号</w:t>
            </w:r>
            <w:r>
              <w:rPr>
                <w:rFonts w:hint="eastAsia" w:ascii="黑体" w:hAnsi="黑体" w:eastAsia="黑体" w:cs="黑体"/>
                <w:sz w:val="28"/>
                <w:szCs w:val="28"/>
                <w:lang w:eastAsia="zh-CN"/>
              </w:rPr>
              <w:t>、条款</w:t>
            </w:r>
            <w:r>
              <w:rPr>
                <w:rFonts w:hint="eastAsia" w:ascii="黑体" w:hAnsi="黑体" w:eastAsia="黑体" w:cs="黑体"/>
                <w:sz w:val="28"/>
                <w:szCs w:val="28"/>
              </w:rPr>
              <w:t>）</w:t>
            </w:r>
          </w:p>
        </w:tc>
        <w:tc>
          <w:tcPr>
            <w:tcW w:w="2107" w:type="dxa"/>
            <w:gridSpan w:val="2"/>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黑体" w:hAnsi="黑体" w:eastAsia="黑体" w:cs="黑体"/>
                <w:sz w:val="28"/>
                <w:szCs w:val="28"/>
              </w:rPr>
              <w:t>清理意见</w:t>
            </w:r>
          </w:p>
        </w:tc>
        <w:tc>
          <w:tcPr>
            <w:tcW w:w="2159" w:type="dxa"/>
            <w:vMerge w:val="restart"/>
            <w:tcBorders>
              <w:top w:val="single" w:color="auto" w:sz="4" w:space="0"/>
              <w:left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黑体" w:hAnsi="黑体" w:eastAsia="黑体" w:cs="黑体"/>
                <w:sz w:val="28"/>
                <w:szCs w:val="28"/>
                <w:lang w:val="en-US" w:eastAsia="zh-CN"/>
              </w:rPr>
              <w:t>是否适用告知承诺制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5" w:hRule="atLeast"/>
        </w:trPr>
        <w:tc>
          <w:tcPr>
            <w:tcW w:w="547" w:type="dxa"/>
            <w:vMerge w:val="continue"/>
            <w:tcBorders>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p>
        </w:tc>
        <w:tc>
          <w:tcPr>
            <w:tcW w:w="1979" w:type="dxa"/>
            <w:vMerge w:val="continue"/>
            <w:tcBorders>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979" w:type="dxa"/>
            <w:vMerge w:val="continue"/>
            <w:tcBorders>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981" w:type="dxa"/>
            <w:vMerge w:val="continue"/>
            <w:tcBorders>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5381" w:type="dxa"/>
            <w:vMerge w:val="continue"/>
            <w:tcBorders>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1"/>
                <w:szCs w:val="21"/>
              </w:rPr>
            </w:pP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黑体" w:hAnsi="黑体" w:eastAsia="黑体" w:cs="黑体"/>
                <w:color w:val="auto"/>
                <w:kern w:val="0"/>
                <w:sz w:val="28"/>
                <w:szCs w:val="28"/>
                <w:lang w:val="en-US" w:eastAsia="zh-CN" w:bidi="ar"/>
              </w:rPr>
            </w:pPr>
            <w:r>
              <w:rPr>
                <w:rFonts w:hint="eastAsia" w:ascii="黑体" w:hAnsi="黑体" w:eastAsia="黑体" w:cs="黑体"/>
                <w:sz w:val="28"/>
                <w:szCs w:val="28"/>
                <w:lang w:val="en-US" w:eastAsia="zh-CN"/>
              </w:rPr>
              <w:t>取消</w:t>
            </w: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黑体" w:hAnsi="黑体" w:eastAsia="黑体" w:cs="黑体"/>
                <w:color w:val="auto"/>
                <w:kern w:val="0"/>
                <w:sz w:val="28"/>
                <w:szCs w:val="28"/>
                <w:lang w:val="en-US" w:eastAsia="zh-CN" w:bidi="ar"/>
              </w:rPr>
            </w:pPr>
            <w:r>
              <w:rPr>
                <w:rFonts w:hint="eastAsia" w:ascii="黑体" w:hAnsi="黑体" w:eastAsia="黑体" w:cs="黑体"/>
                <w:sz w:val="28"/>
                <w:szCs w:val="28"/>
              </w:rPr>
              <w:t>保留</w:t>
            </w:r>
          </w:p>
        </w:tc>
        <w:tc>
          <w:tcPr>
            <w:tcW w:w="2159" w:type="dxa"/>
            <w:vMerge w:val="continue"/>
            <w:tcBorders>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0" w:hRule="atLeast"/>
        </w:trPr>
        <w:tc>
          <w:tcPr>
            <w:tcW w:w="547"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p>
        </w:tc>
        <w:tc>
          <w:tcPr>
            <w:tcW w:w="1979" w:type="dxa"/>
            <w:vMerge w:val="restart"/>
            <w:tcBorders>
              <w:top w:val="single" w:color="auto" w:sz="4" w:space="0"/>
              <w:left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危险化学品经营许可证延期</w:t>
            </w:r>
          </w:p>
        </w:tc>
        <w:tc>
          <w:tcPr>
            <w:tcW w:w="1979" w:type="dxa"/>
            <w:vMerge w:val="restart"/>
            <w:tcBorders>
              <w:top w:val="single" w:color="000000" w:sz="2" w:space="0"/>
              <w:left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行政许可</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申请延期危险化学品经营许可证的文件及申请书</w:t>
            </w:r>
          </w:p>
        </w:tc>
        <w:tc>
          <w:tcPr>
            <w:tcW w:w="5381" w:type="dxa"/>
            <w:vMerge w:val="restart"/>
            <w:tcBorders>
              <w:top w:val="single" w:color="000000" w:sz="2" w:space="0"/>
              <w:left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《危险化学品经营许可证管理办法》（国家安全监管总局令第55号）和《危险化学品安全管理条例》（国务院令第591号）</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0" w:hRule="atLeast"/>
        </w:trPr>
        <w:tc>
          <w:tcPr>
            <w:tcW w:w="547"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p>
        </w:tc>
        <w:tc>
          <w:tcPr>
            <w:tcW w:w="1979" w:type="dxa"/>
            <w:vMerge w:val="continue"/>
            <w:tcBorders>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979" w:type="dxa"/>
            <w:vMerge w:val="continue"/>
            <w:tcBorders>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危险化学品事故应急预案备案登记表</w:t>
            </w:r>
          </w:p>
        </w:tc>
        <w:tc>
          <w:tcPr>
            <w:tcW w:w="5381" w:type="dxa"/>
            <w:vMerge w:val="continue"/>
            <w:tcBorders>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1"/>
                <w:szCs w:val="21"/>
              </w:rPr>
            </w:pP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0" w:hRule="atLeast"/>
        </w:trPr>
        <w:tc>
          <w:tcPr>
            <w:tcW w:w="547"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p>
        </w:tc>
        <w:tc>
          <w:tcPr>
            <w:tcW w:w="1979" w:type="dxa"/>
            <w:vMerge w:val="restart"/>
            <w:tcBorders>
              <w:top w:val="single" w:color="auto" w:sz="4" w:space="0"/>
              <w:left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危险化学品经营许可证颁发</w:t>
            </w:r>
          </w:p>
        </w:tc>
        <w:tc>
          <w:tcPr>
            <w:tcW w:w="1979" w:type="dxa"/>
            <w:vMerge w:val="restart"/>
            <w:tcBorders>
              <w:top w:val="single" w:color="000000" w:sz="2" w:space="0"/>
              <w:left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行政许可</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危险化学品事故应急预案备案登记表</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1"/>
                <w:szCs w:val="21"/>
              </w:rPr>
            </w:pP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33" w:hRule="atLeast"/>
        </w:trPr>
        <w:tc>
          <w:tcPr>
            <w:tcW w:w="547"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p>
        </w:tc>
        <w:tc>
          <w:tcPr>
            <w:tcW w:w="1979" w:type="dxa"/>
            <w:vMerge w:val="continue"/>
            <w:tcBorders>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979" w:type="dxa"/>
            <w:vMerge w:val="continue"/>
            <w:tcBorders>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申请经营许可证的文件及申请书</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1"/>
                <w:szCs w:val="21"/>
              </w:rPr>
            </w:pP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33" w:hRule="atLeast"/>
        </w:trPr>
        <w:tc>
          <w:tcPr>
            <w:tcW w:w="547"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p>
        </w:tc>
        <w:tc>
          <w:tcPr>
            <w:tcW w:w="1979" w:type="dxa"/>
            <w:vMerge w:val="restart"/>
            <w:tcBorders>
              <w:top w:val="single" w:color="auto" w:sz="4" w:space="0"/>
              <w:left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烟花爆竹经营（零售）许可</w:t>
            </w:r>
          </w:p>
        </w:tc>
        <w:tc>
          <w:tcPr>
            <w:tcW w:w="1979" w:type="dxa"/>
            <w:vMerge w:val="restart"/>
            <w:tcBorders>
              <w:top w:val="single" w:color="000000" w:sz="2" w:space="0"/>
              <w:left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行政许可</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零售点及其周围安全条件说明</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1"/>
                <w:szCs w:val="21"/>
              </w:rPr>
            </w:pP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0" w:hRule="atLeast"/>
        </w:trPr>
        <w:tc>
          <w:tcPr>
            <w:tcW w:w="547"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p>
        </w:tc>
        <w:tc>
          <w:tcPr>
            <w:tcW w:w="1979" w:type="dxa"/>
            <w:vMerge w:val="continue"/>
            <w:tcBorders>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979" w:type="dxa"/>
            <w:vMerge w:val="continue"/>
            <w:tcBorders>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烟花爆竹经营（零售）许可申请书</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1"/>
                <w:szCs w:val="21"/>
              </w:rPr>
            </w:pP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0" w:hRule="atLeast"/>
        </w:trPr>
        <w:tc>
          <w:tcPr>
            <w:tcW w:w="547"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p>
        </w:tc>
        <w:tc>
          <w:tcPr>
            <w:tcW w:w="1979" w:type="dxa"/>
            <w:tcBorders>
              <w:top w:val="single" w:color="auto" w:sz="4" w:space="0"/>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烟花爆竹经营（零售）许可注销</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行政许可</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烟花爆竹经营（零售）许可申请书</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1"/>
                <w:szCs w:val="21"/>
              </w:rPr>
            </w:pP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9" w:hRule="atLeast"/>
        </w:trPr>
        <w:tc>
          <w:tcPr>
            <w:tcW w:w="547" w:type="dxa"/>
            <w:vMerge w:val="restart"/>
            <w:tcBorders>
              <w:top w:val="single" w:color="auto" w:sz="4" w:space="0"/>
              <w:left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sz w:val="28"/>
                <w:szCs w:val="28"/>
              </w:rPr>
            </w:pPr>
            <w:r>
              <w:rPr>
                <w:rFonts w:hint="eastAsia" w:ascii="黑体" w:hAnsi="黑体" w:eastAsia="黑体" w:cs="黑体"/>
                <w:sz w:val="28"/>
                <w:szCs w:val="28"/>
              </w:rPr>
              <w:t>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黑体" w:hAnsi="黑体" w:eastAsia="黑体" w:cs="黑体"/>
                <w:color w:val="auto"/>
                <w:kern w:val="0"/>
                <w:sz w:val="28"/>
                <w:szCs w:val="28"/>
                <w:lang w:val="en-US" w:eastAsia="zh-CN" w:bidi="ar"/>
              </w:rPr>
            </w:pPr>
            <w:r>
              <w:rPr>
                <w:rFonts w:hint="eastAsia" w:ascii="黑体" w:hAnsi="黑体" w:eastAsia="黑体" w:cs="黑体"/>
                <w:sz w:val="28"/>
                <w:szCs w:val="28"/>
              </w:rPr>
              <w:t>号</w:t>
            </w:r>
          </w:p>
        </w:tc>
        <w:tc>
          <w:tcPr>
            <w:tcW w:w="1979" w:type="dxa"/>
            <w:vMerge w:val="restart"/>
            <w:tcBorders>
              <w:top w:val="single" w:color="auto" w:sz="4" w:space="0"/>
              <w:left w:val="single" w:color="000000" w:sz="2" w:space="0"/>
              <w:right w:val="single" w:color="auto" w:sz="4"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黑体" w:hAnsi="黑体" w:eastAsia="黑体" w:cs="黑体"/>
                <w:color w:val="auto"/>
                <w:kern w:val="0"/>
                <w:sz w:val="28"/>
                <w:szCs w:val="28"/>
                <w:lang w:val="en-US" w:eastAsia="zh-CN" w:bidi="ar"/>
              </w:rPr>
            </w:pPr>
            <w:r>
              <w:rPr>
                <w:rFonts w:hint="eastAsia" w:ascii="黑体" w:hAnsi="黑体" w:eastAsia="黑体" w:cs="黑体"/>
                <w:sz w:val="28"/>
                <w:szCs w:val="28"/>
                <w:lang w:val="en-US" w:eastAsia="zh-CN"/>
              </w:rPr>
              <w:t>服务事项</w:t>
            </w:r>
          </w:p>
        </w:tc>
        <w:tc>
          <w:tcPr>
            <w:tcW w:w="1979" w:type="dxa"/>
            <w:vMerge w:val="restart"/>
            <w:tcBorders>
              <w:top w:val="single" w:color="000000" w:sz="2" w:space="0"/>
              <w:left w:val="single" w:color="auto" w:sz="4" w:space="0"/>
              <w:right w:val="single" w:color="auto" w:sz="4"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黑体" w:hAnsi="黑体" w:eastAsia="黑体" w:cs="黑体"/>
                <w:color w:val="auto"/>
                <w:kern w:val="0"/>
                <w:sz w:val="28"/>
                <w:szCs w:val="28"/>
                <w:lang w:val="en-US" w:eastAsia="zh-CN" w:bidi="ar"/>
              </w:rPr>
            </w:pPr>
            <w:r>
              <w:rPr>
                <w:rFonts w:hint="eastAsia" w:ascii="黑体" w:hAnsi="黑体" w:eastAsia="黑体" w:cs="黑体"/>
                <w:sz w:val="28"/>
                <w:szCs w:val="28"/>
                <w:lang w:val="en-US" w:eastAsia="zh-CN"/>
              </w:rPr>
              <w:t>事项类型</w:t>
            </w:r>
          </w:p>
        </w:tc>
        <w:tc>
          <w:tcPr>
            <w:tcW w:w="1981" w:type="dxa"/>
            <w:vMerge w:val="restart"/>
            <w:tcBorders>
              <w:top w:val="single" w:color="000000" w:sz="2" w:space="0"/>
              <w:left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黑体" w:hAnsi="黑体" w:eastAsia="黑体" w:cs="黑体"/>
                <w:color w:val="auto"/>
                <w:kern w:val="0"/>
                <w:sz w:val="28"/>
                <w:szCs w:val="28"/>
                <w:lang w:val="en-US" w:eastAsia="zh-CN" w:bidi="ar"/>
              </w:rPr>
            </w:pPr>
            <w:r>
              <w:rPr>
                <w:rFonts w:hint="eastAsia" w:ascii="黑体" w:hAnsi="黑体" w:eastAsia="黑体" w:cs="黑体"/>
                <w:sz w:val="28"/>
                <w:szCs w:val="28"/>
              </w:rPr>
              <w:t>证明</w:t>
            </w:r>
            <w:r>
              <w:rPr>
                <w:rFonts w:hint="eastAsia" w:ascii="黑体" w:hAnsi="黑体" w:eastAsia="黑体" w:cs="黑体"/>
                <w:sz w:val="28"/>
                <w:szCs w:val="28"/>
                <w:lang w:val="en-US" w:eastAsia="zh-CN"/>
              </w:rPr>
              <w:t>材料</w:t>
            </w:r>
          </w:p>
        </w:tc>
        <w:tc>
          <w:tcPr>
            <w:tcW w:w="5381" w:type="dxa"/>
            <w:vMerge w:val="restart"/>
            <w:tcBorders>
              <w:top w:val="single" w:color="000000" w:sz="2" w:space="0"/>
              <w:left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sz w:val="28"/>
                <w:szCs w:val="28"/>
              </w:rPr>
            </w:pPr>
            <w:r>
              <w:rPr>
                <w:rFonts w:hint="eastAsia" w:ascii="黑体" w:hAnsi="黑体" w:eastAsia="黑体" w:cs="黑体"/>
                <w:sz w:val="28"/>
                <w:szCs w:val="28"/>
              </w:rPr>
              <w:t>设定依据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黑体" w:hAnsi="黑体" w:eastAsia="黑体" w:cs="黑体"/>
                <w:color w:val="auto"/>
                <w:kern w:val="0"/>
                <w:sz w:val="28"/>
                <w:szCs w:val="28"/>
                <w:lang w:val="en-US" w:eastAsia="zh-CN" w:bidi="ar"/>
              </w:rPr>
            </w:pPr>
            <w:r>
              <w:rPr>
                <w:rFonts w:hint="eastAsia" w:ascii="黑体" w:hAnsi="黑体" w:eastAsia="黑体" w:cs="黑体"/>
                <w:sz w:val="28"/>
                <w:szCs w:val="28"/>
              </w:rPr>
              <w:t>（名称、文号</w:t>
            </w:r>
            <w:r>
              <w:rPr>
                <w:rFonts w:hint="eastAsia" w:ascii="黑体" w:hAnsi="黑体" w:eastAsia="黑体" w:cs="黑体"/>
                <w:sz w:val="28"/>
                <w:szCs w:val="28"/>
                <w:lang w:eastAsia="zh-CN"/>
              </w:rPr>
              <w:t>、条款</w:t>
            </w:r>
            <w:r>
              <w:rPr>
                <w:rFonts w:hint="eastAsia" w:ascii="黑体" w:hAnsi="黑体" w:eastAsia="黑体" w:cs="黑体"/>
                <w:sz w:val="28"/>
                <w:szCs w:val="28"/>
              </w:rPr>
              <w:t>）</w:t>
            </w:r>
          </w:p>
        </w:tc>
        <w:tc>
          <w:tcPr>
            <w:tcW w:w="2107" w:type="dxa"/>
            <w:gridSpan w:val="2"/>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黑体" w:hAnsi="黑体" w:eastAsia="黑体" w:cs="黑体"/>
                <w:sz w:val="28"/>
                <w:szCs w:val="28"/>
              </w:rPr>
              <w:t>清理意见</w:t>
            </w:r>
          </w:p>
        </w:tc>
        <w:tc>
          <w:tcPr>
            <w:tcW w:w="2159" w:type="dxa"/>
            <w:vMerge w:val="restart"/>
            <w:tcBorders>
              <w:top w:val="single" w:color="auto" w:sz="4" w:space="0"/>
              <w:left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黑体" w:hAnsi="黑体" w:eastAsia="黑体" w:cs="黑体"/>
                <w:sz w:val="28"/>
                <w:szCs w:val="28"/>
                <w:lang w:val="en-US" w:eastAsia="zh-CN"/>
              </w:rPr>
              <w:t>是否适用告知承诺制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3" w:hRule="atLeast"/>
        </w:trPr>
        <w:tc>
          <w:tcPr>
            <w:tcW w:w="547" w:type="dxa"/>
            <w:vMerge w:val="continue"/>
            <w:tcBorders>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p>
        </w:tc>
        <w:tc>
          <w:tcPr>
            <w:tcW w:w="1979" w:type="dxa"/>
            <w:vMerge w:val="continue"/>
            <w:tcBorders>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979" w:type="dxa"/>
            <w:vMerge w:val="continue"/>
            <w:tcBorders>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981" w:type="dxa"/>
            <w:vMerge w:val="continue"/>
            <w:tcBorders>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5381" w:type="dxa"/>
            <w:vMerge w:val="continue"/>
            <w:tcBorders>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1"/>
                <w:szCs w:val="21"/>
              </w:rPr>
            </w:pP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黑体" w:hAnsi="黑体" w:eastAsia="黑体" w:cs="黑体"/>
                <w:color w:val="auto"/>
                <w:kern w:val="0"/>
                <w:sz w:val="28"/>
                <w:szCs w:val="28"/>
                <w:lang w:val="en-US" w:eastAsia="zh-CN" w:bidi="ar"/>
              </w:rPr>
            </w:pPr>
            <w:r>
              <w:rPr>
                <w:rFonts w:hint="eastAsia" w:ascii="黑体" w:hAnsi="黑体" w:eastAsia="黑体" w:cs="黑体"/>
                <w:sz w:val="28"/>
                <w:szCs w:val="28"/>
                <w:lang w:val="en-US" w:eastAsia="zh-CN"/>
              </w:rPr>
              <w:t>取消</w:t>
            </w: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黑体" w:hAnsi="黑体" w:eastAsia="黑体" w:cs="黑体"/>
                <w:color w:val="auto"/>
                <w:kern w:val="0"/>
                <w:sz w:val="28"/>
                <w:szCs w:val="28"/>
                <w:lang w:val="en-US" w:eastAsia="zh-CN" w:bidi="ar"/>
              </w:rPr>
            </w:pPr>
            <w:r>
              <w:rPr>
                <w:rFonts w:hint="eastAsia" w:ascii="黑体" w:hAnsi="黑体" w:eastAsia="黑体" w:cs="黑体"/>
                <w:sz w:val="28"/>
                <w:szCs w:val="28"/>
              </w:rPr>
              <w:t>保留</w:t>
            </w:r>
          </w:p>
        </w:tc>
        <w:tc>
          <w:tcPr>
            <w:tcW w:w="2159" w:type="dxa"/>
            <w:vMerge w:val="continue"/>
            <w:tcBorders>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0" w:hRule="atLeast"/>
        </w:trPr>
        <w:tc>
          <w:tcPr>
            <w:tcW w:w="547"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p>
        </w:tc>
        <w:tc>
          <w:tcPr>
            <w:tcW w:w="1979" w:type="dxa"/>
            <w:vMerge w:val="restart"/>
            <w:tcBorders>
              <w:top w:val="single" w:color="auto" w:sz="4" w:space="0"/>
              <w:left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非煤矿矿山建设项目安全设施设计审查</w:t>
            </w:r>
          </w:p>
        </w:tc>
        <w:tc>
          <w:tcPr>
            <w:tcW w:w="1979" w:type="dxa"/>
            <w:vMerge w:val="restart"/>
            <w:tcBorders>
              <w:top w:val="single" w:color="000000" w:sz="2" w:space="0"/>
              <w:left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行政许可</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安全设施设计审查申请及文件</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1"/>
                <w:szCs w:val="21"/>
              </w:rPr>
            </w:pP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0" w:hRule="atLeast"/>
        </w:trPr>
        <w:tc>
          <w:tcPr>
            <w:tcW w:w="547"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p>
        </w:tc>
        <w:tc>
          <w:tcPr>
            <w:tcW w:w="1979" w:type="dxa"/>
            <w:vMerge w:val="continue"/>
            <w:tcBorders>
              <w:left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979" w:type="dxa"/>
            <w:vMerge w:val="continue"/>
            <w:tcBorders>
              <w:left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建设项目审批、核准或者备案文件</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1"/>
                <w:szCs w:val="21"/>
              </w:rPr>
            </w:pP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0" w:hRule="atLeast"/>
        </w:trPr>
        <w:tc>
          <w:tcPr>
            <w:tcW w:w="547"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p>
        </w:tc>
        <w:tc>
          <w:tcPr>
            <w:tcW w:w="1979" w:type="dxa"/>
            <w:vMerge w:val="continue"/>
            <w:tcBorders>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979" w:type="dxa"/>
            <w:vMerge w:val="continue"/>
            <w:tcBorders>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建设项目安全设施设计</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1"/>
                <w:szCs w:val="21"/>
              </w:rPr>
            </w:pP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0" w:hRule="atLeast"/>
        </w:trPr>
        <w:tc>
          <w:tcPr>
            <w:tcW w:w="547"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p>
        </w:tc>
        <w:tc>
          <w:tcPr>
            <w:tcW w:w="1979" w:type="dxa"/>
            <w:vMerge w:val="restart"/>
            <w:tcBorders>
              <w:top w:val="single" w:color="auto" w:sz="4" w:space="0"/>
              <w:left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自然灾害救助资金给付</w:t>
            </w:r>
          </w:p>
        </w:tc>
        <w:tc>
          <w:tcPr>
            <w:tcW w:w="1979" w:type="dxa"/>
            <w:vMerge w:val="restart"/>
            <w:tcBorders>
              <w:top w:val="single" w:color="000000" w:sz="2" w:space="0"/>
              <w:left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行政给付</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受理乡镇初审意见</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1"/>
                <w:szCs w:val="21"/>
              </w:rPr>
            </w:pP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0" w:hRule="atLeast"/>
        </w:trPr>
        <w:tc>
          <w:tcPr>
            <w:tcW w:w="547"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p>
        </w:tc>
        <w:tc>
          <w:tcPr>
            <w:tcW w:w="1979" w:type="dxa"/>
            <w:vMerge w:val="continue"/>
            <w:tcBorders>
              <w:left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979" w:type="dxa"/>
            <w:vMerge w:val="continue"/>
            <w:tcBorders>
              <w:left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村评议意见</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1"/>
                <w:szCs w:val="21"/>
              </w:rPr>
            </w:pP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1" w:hRule="atLeast"/>
        </w:trPr>
        <w:tc>
          <w:tcPr>
            <w:tcW w:w="547"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p>
        </w:tc>
        <w:tc>
          <w:tcPr>
            <w:tcW w:w="1979" w:type="dxa"/>
            <w:vMerge w:val="continue"/>
            <w:tcBorders>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979" w:type="dxa"/>
            <w:vMerge w:val="continue"/>
            <w:tcBorders>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乡镇（街道）审核意见</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1"/>
                <w:szCs w:val="21"/>
              </w:rPr>
            </w:pP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33" w:hRule="atLeast"/>
        </w:trPr>
        <w:tc>
          <w:tcPr>
            <w:tcW w:w="547"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p>
        </w:tc>
        <w:tc>
          <w:tcPr>
            <w:tcW w:w="1979" w:type="dxa"/>
            <w:vMerge w:val="restart"/>
            <w:tcBorders>
              <w:top w:val="single" w:color="auto" w:sz="4" w:space="0"/>
              <w:left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自然灾害救助对象审核</w:t>
            </w:r>
          </w:p>
        </w:tc>
        <w:tc>
          <w:tcPr>
            <w:tcW w:w="1979" w:type="dxa"/>
            <w:vMerge w:val="restart"/>
            <w:tcBorders>
              <w:top w:val="single" w:color="000000" w:sz="2" w:space="0"/>
              <w:left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其他行政权力</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自然灾害补助申请书</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1"/>
                <w:szCs w:val="21"/>
              </w:rPr>
            </w:pP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0" w:hRule="atLeast"/>
        </w:trPr>
        <w:tc>
          <w:tcPr>
            <w:tcW w:w="547"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p>
        </w:tc>
        <w:tc>
          <w:tcPr>
            <w:tcW w:w="1979" w:type="dxa"/>
            <w:vMerge w:val="continue"/>
            <w:tcBorders>
              <w:left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979" w:type="dxa"/>
            <w:vMerge w:val="continue"/>
            <w:tcBorders>
              <w:left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村评议意见</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1"/>
                <w:szCs w:val="21"/>
              </w:rPr>
            </w:pP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0" w:hRule="atLeast"/>
        </w:trPr>
        <w:tc>
          <w:tcPr>
            <w:tcW w:w="547"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p>
        </w:tc>
        <w:tc>
          <w:tcPr>
            <w:tcW w:w="1979" w:type="dxa"/>
            <w:vMerge w:val="continue"/>
            <w:tcBorders>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979" w:type="dxa"/>
            <w:vMerge w:val="continue"/>
            <w:tcBorders>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乡镇审核意见</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1"/>
                <w:szCs w:val="21"/>
              </w:rPr>
            </w:pP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1" w:hRule="atLeast"/>
        </w:trPr>
        <w:tc>
          <w:tcPr>
            <w:tcW w:w="547" w:type="dxa"/>
            <w:vMerge w:val="restart"/>
            <w:tcBorders>
              <w:top w:val="single" w:color="auto" w:sz="4" w:space="0"/>
              <w:left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sz w:val="28"/>
                <w:szCs w:val="28"/>
              </w:rPr>
            </w:pPr>
            <w:r>
              <w:rPr>
                <w:rFonts w:hint="eastAsia" w:ascii="黑体" w:hAnsi="黑体" w:eastAsia="黑体" w:cs="黑体"/>
                <w:sz w:val="28"/>
                <w:szCs w:val="28"/>
              </w:rPr>
              <w:t>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黑体" w:hAnsi="黑体" w:eastAsia="黑体" w:cs="黑体"/>
                <w:color w:val="auto"/>
                <w:kern w:val="0"/>
                <w:sz w:val="28"/>
                <w:szCs w:val="28"/>
                <w:lang w:val="en-US" w:eastAsia="zh-CN" w:bidi="ar"/>
              </w:rPr>
            </w:pPr>
            <w:r>
              <w:rPr>
                <w:rFonts w:hint="eastAsia" w:ascii="黑体" w:hAnsi="黑体" w:eastAsia="黑体" w:cs="黑体"/>
                <w:sz w:val="28"/>
                <w:szCs w:val="28"/>
              </w:rPr>
              <w:t>号</w:t>
            </w:r>
          </w:p>
        </w:tc>
        <w:tc>
          <w:tcPr>
            <w:tcW w:w="1979" w:type="dxa"/>
            <w:vMerge w:val="restart"/>
            <w:tcBorders>
              <w:top w:val="single" w:color="auto" w:sz="4" w:space="0"/>
              <w:left w:val="single" w:color="000000" w:sz="2" w:space="0"/>
              <w:right w:val="single" w:color="auto" w:sz="4"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黑体" w:hAnsi="黑体" w:eastAsia="黑体" w:cs="黑体"/>
                <w:color w:val="auto"/>
                <w:kern w:val="0"/>
                <w:sz w:val="28"/>
                <w:szCs w:val="28"/>
                <w:lang w:val="en-US" w:eastAsia="zh-CN" w:bidi="ar"/>
              </w:rPr>
            </w:pPr>
            <w:r>
              <w:rPr>
                <w:rFonts w:hint="eastAsia" w:ascii="黑体" w:hAnsi="黑体" w:eastAsia="黑体" w:cs="黑体"/>
                <w:sz w:val="28"/>
                <w:szCs w:val="28"/>
                <w:lang w:val="en-US" w:eastAsia="zh-CN"/>
              </w:rPr>
              <w:t>服务事项</w:t>
            </w:r>
          </w:p>
        </w:tc>
        <w:tc>
          <w:tcPr>
            <w:tcW w:w="1979" w:type="dxa"/>
            <w:vMerge w:val="restart"/>
            <w:tcBorders>
              <w:top w:val="single" w:color="000000" w:sz="2" w:space="0"/>
              <w:left w:val="single" w:color="auto" w:sz="4" w:space="0"/>
              <w:right w:val="single" w:color="auto" w:sz="4"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黑体" w:hAnsi="黑体" w:eastAsia="黑体" w:cs="黑体"/>
                <w:color w:val="auto"/>
                <w:kern w:val="0"/>
                <w:sz w:val="28"/>
                <w:szCs w:val="28"/>
                <w:lang w:val="en-US" w:eastAsia="zh-CN" w:bidi="ar"/>
              </w:rPr>
            </w:pPr>
            <w:r>
              <w:rPr>
                <w:rFonts w:hint="eastAsia" w:ascii="黑体" w:hAnsi="黑体" w:eastAsia="黑体" w:cs="黑体"/>
                <w:sz w:val="28"/>
                <w:szCs w:val="28"/>
                <w:lang w:val="en-US" w:eastAsia="zh-CN"/>
              </w:rPr>
              <w:t>事项类型</w:t>
            </w:r>
          </w:p>
        </w:tc>
        <w:tc>
          <w:tcPr>
            <w:tcW w:w="1981" w:type="dxa"/>
            <w:vMerge w:val="restart"/>
            <w:tcBorders>
              <w:top w:val="single" w:color="000000" w:sz="2" w:space="0"/>
              <w:left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黑体" w:hAnsi="黑体" w:eastAsia="黑体" w:cs="黑体"/>
                <w:color w:val="auto"/>
                <w:kern w:val="0"/>
                <w:sz w:val="28"/>
                <w:szCs w:val="28"/>
                <w:lang w:val="en-US" w:eastAsia="zh-CN" w:bidi="ar"/>
              </w:rPr>
            </w:pPr>
            <w:r>
              <w:rPr>
                <w:rFonts w:hint="eastAsia" w:ascii="黑体" w:hAnsi="黑体" w:eastAsia="黑体" w:cs="黑体"/>
                <w:sz w:val="28"/>
                <w:szCs w:val="28"/>
              </w:rPr>
              <w:t>证明</w:t>
            </w:r>
            <w:r>
              <w:rPr>
                <w:rFonts w:hint="eastAsia" w:ascii="黑体" w:hAnsi="黑体" w:eastAsia="黑体" w:cs="黑体"/>
                <w:sz w:val="28"/>
                <w:szCs w:val="28"/>
                <w:lang w:val="en-US" w:eastAsia="zh-CN"/>
              </w:rPr>
              <w:t>材料</w:t>
            </w:r>
          </w:p>
        </w:tc>
        <w:tc>
          <w:tcPr>
            <w:tcW w:w="5381" w:type="dxa"/>
            <w:vMerge w:val="restart"/>
            <w:tcBorders>
              <w:top w:val="single" w:color="000000" w:sz="2" w:space="0"/>
              <w:left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sz w:val="28"/>
                <w:szCs w:val="28"/>
              </w:rPr>
            </w:pPr>
            <w:r>
              <w:rPr>
                <w:rFonts w:hint="eastAsia" w:ascii="黑体" w:hAnsi="黑体" w:eastAsia="黑体" w:cs="黑体"/>
                <w:sz w:val="28"/>
                <w:szCs w:val="28"/>
              </w:rPr>
              <w:t>设定依据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黑体" w:hAnsi="黑体" w:eastAsia="黑体" w:cs="黑体"/>
                <w:color w:val="auto"/>
                <w:kern w:val="0"/>
                <w:sz w:val="28"/>
                <w:szCs w:val="28"/>
                <w:lang w:val="en-US" w:eastAsia="zh-CN" w:bidi="ar"/>
              </w:rPr>
            </w:pPr>
            <w:r>
              <w:rPr>
                <w:rFonts w:hint="eastAsia" w:ascii="黑体" w:hAnsi="黑体" w:eastAsia="黑体" w:cs="黑体"/>
                <w:sz w:val="28"/>
                <w:szCs w:val="28"/>
              </w:rPr>
              <w:t>（名称、文号</w:t>
            </w:r>
            <w:r>
              <w:rPr>
                <w:rFonts w:hint="eastAsia" w:ascii="黑体" w:hAnsi="黑体" w:eastAsia="黑体" w:cs="黑体"/>
                <w:sz w:val="28"/>
                <w:szCs w:val="28"/>
                <w:lang w:eastAsia="zh-CN"/>
              </w:rPr>
              <w:t>、条款</w:t>
            </w:r>
            <w:r>
              <w:rPr>
                <w:rFonts w:hint="eastAsia" w:ascii="黑体" w:hAnsi="黑体" w:eastAsia="黑体" w:cs="黑体"/>
                <w:sz w:val="28"/>
                <w:szCs w:val="28"/>
              </w:rPr>
              <w:t>）</w:t>
            </w:r>
          </w:p>
        </w:tc>
        <w:tc>
          <w:tcPr>
            <w:tcW w:w="2107" w:type="dxa"/>
            <w:gridSpan w:val="2"/>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黑体" w:hAnsi="黑体" w:eastAsia="黑体" w:cs="黑体"/>
                <w:sz w:val="28"/>
                <w:szCs w:val="28"/>
              </w:rPr>
              <w:t>清理意见</w:t>
            </w:r>
          </w:p>
        </w:tc>
        <w:tc>
          <w:tcPr>
            <w:tcW w:w="2159" w:type="dxa"/>
            <w:vMerge w:val="restart"/>
            <w:tcBorders>
              <w:top w:val="single" w:color="auto" w:sz="4" w:space="0"/>
              <w:left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黑体" w:hAnsi="黑体" w:eastAsia="黑体" w:cs="黑体"/>
                <w:sz w:val="28"/>
                <w:szCs w:val="28"/>
                <w:lang w:val="en-US" w:eastAsia="zh-CN"/>
              </w:rPr>
              <w:t>是否适用告知承诺制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0" w:hRule="atLeast"/>
        </w:trPr>
        <w:tc>
          <w:tcPr>
            <w:tcW w:w="547" w:type="dxa"/>
            <w:vMerge w:val="continue"/>
            <w:tcBorders>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p>
        </w:tc>
        <w:tc>
          <w:tcPr>
            <w:tcW w:w="1979" w:type="dxa"/>
            <w:vMerge w:val="continue"/>
            <w:tcBorders>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979" w:type="dxa"/>
            <w:vMerge w:val="continue"/>
            <w:tcBorders>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981" w:type="dxa"/>
            <w:vMerge w:val="continue"/>
            <w:tcBorders>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5381" w:type="dxa"/>
            <w:vMerge w:val="continue"/>
            <w:tcBorders>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1"/>
                <w:szCs w:val="21"/>
              </w:rPr>
            </w:pP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黑体" w:hAnsi="黑体" w:eastAsia="黑体" w:cs="黑体"/>
                <w:color w:val="auto"/>
                <w:kern w:val="0"/>
                <w:sz w:val="28"/>
                <w:szCs w:val="28"/>
                <w:lang w:val="en-US" w:eastAsia="zh-CN" w:bidi="ar"/>
              </w:rPr>
            </w:pPr>
            <w:r>
              <w:rPr>
                <w:rFonts w:hint="eastAsia" w:ascii="黑体" w:hAnsi="黑体" w:eastAsia="黑体" w:cs="黑体"/>
                <w:sz w:val="28"/>
                <w:szCs w:val="28"/>
                <w:lang w:val="en-US" w:eastAsia="zh-CN"/>
              </w:rPr>
              <w:t>取消</w:t>
            </w: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黑体" w:hAnsi="黑体" w:eastAsia="黑体" w:cs="黑体"/>
                <w:color w:val="auto"/>
                <w:kern w:val="0"/>
                <w:sz w:val="28"/>
                <w:szCs w:val="28"/>
                <w:lang w:val="en-US" w:eastAsia="zh-CN" w:bidi="ar"/>
              </w:rPr>
            </w:pPr>
            <w:r>
              <w:rPr>
                <w:rFonts w:hint="eastAsia" w:ascii="黑体" w:hAnsi="黑体" w:eastAsia="黑体" w:cs="黑体"/>
                <w:sz w:val="28"/>
                <w:szCs w:val="28"/>
              </w:rPr>
              <w:t>保留</w:t>
            </w:r>
          </w:p>
        </w:tc>
        <w:tc>
          <w:tcPr>
            <w:tcW w:w="2159" w:type="dxa"/>
            <w:vMerge w:val="continue"/>
            <w:tcBorders>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0" w:hRule="atLeast"/>
        </w:trPr>
        <w:tc>
          <w:tcPr>
            <w:tcW w:w="547"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p>
        </w:tc>
        <w:tc>
          <w:tcPr>
            <w:tcW w:w="1979" w:type="dxa"/>
            <w:vMerge w:val="restart"/>
            <w:tcBorders>
              <w:top w:val="single" w:color="auto" w:sz="4" w:space="0"/>
              <w:left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w w:val="80"/>
                <w:sz w:val="28"/>
                <w:szCs w:val="28"/>
              </w:rPr>
            </w:pPr>
            <w:r>
              <w:rPr>
                <w:rFonts w:hint="eastAsia" w:ascii="仿宋_GB2312" w:hAnsi="仿宋_GB2312" w:eastAsia="仿宋_GB2312" w:cs="仿宋_GB2312"/>
                <w:w w:val="80"/>
                <w:sz w:val="28"/>
                <w:szCs w:val="28"/>
              </w:rPr>
              <w:t>生产、经营非药品类易制毒化学品企业增加生产或经营的备案品种主要流向改变的重新备案（第三类经营）</w:t>
            </w:r>
          </w:p>
        </w:tc>
        <w:tc>
          <w:tcPr>
            <w:tcW w:w="1979" w:type="dxa"/>
            <w:vMerge w:val="restart"/>
            <w:tcBorders>
              <w:top w:val="single" w:color="000000" w:sz="2" w:space="0"/>
              <w:left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其他行政权力</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备案申请书</w:t>
            </w:r>
          </w:p>
        </w:tc>
        <w:tc>
          <w:tcPr>
            <w:tcW w:w="5381" w:type="dxa"/>
            <w:vMerge w:val="restart"/>
            <w:tcBorders>
              <w:top w:val="single" w:color="000000" w:sz="2" w:space="0"/>
              <w:left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《非药品类易制毒化学品生产、经营许可办法》（安监总局令第5号）第二十条　第二类、第三类非药品类易制毒化学品经营单位进行备案时，应当提交下列资料：（一）非药品类易制毒化学品销售品种、销售量、主要流向等情况的备案申请书；（二）易制毒化学品管理制度；（三）产品包装说明和使用说明书；（四）工商营业执照副本（复印件）。属于危险化学品经营单位的，还应当提交危险化学品经营许可证，免于提交本条第（四）项所要求的文件、资料。</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0" w:hRule="atLeast"/>
        </w:trPr>
        <w:tc>
          <w:tcPr>
            <w:tcW w:w="547"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p>
        </w:tc>
        <w:tc>
          <w:tcPr>
            <w:tcW w:w="1979" w:type="dxa"/>
            <w:vMerge w:val="continue"/>
            <w:tcBorders>
              <w:left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w w:val="80"/>
                <w:sz w:val="28"/>
                <w:szCs w:val="28"/>
              </w:rPr>
            </w:pPr>
          </w:p>
        </w:tc>
        <w:tc>
          <w:tcPr>
            <w:tcW w:w="1979" w:type="dxa"/>
            <w:vMerge w:val="continue"/>
            <w:tcBorders>
              <w:left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产品包装说明和使用说明书</w:t>
            </w:r>
          </w:p>
        </w:tc>
        <w:tc>
          <w:tcPr>
            <w:tcW w:w="5381" w:type="dxa"/>
            <w:vMerge w:val="continue"/>
            <w:tcBorders>
              <w:left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1"/>
                <w:szCs w:val="21"/>
              </w:rPr>
            </w:pP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0" w:hRule="atLeast"/>
        </w:trPr>
        <w:tc>
          <w:tcPr>
            <w:tcW w:w="547"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p>
        </w:tc>
        <w:tc>
          <w:tcPr>
            <w:tcW w:w="1979" w:type="dxa"/>
            <w:vMerge w:val="continue"/>
            <w:tcBorders>
              <w:left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w w:val="80"/>
                <w:sz w:val="28"/>
                <w:szCs w:val="28"/>
              </w:rPr>
            </w:pPr>
          </w:p>
        </w:tc>
        <w:tc>
          <w:tcPr>
            <w:tcW w:w="1979" w:type="dxa"/>
            <w:vMerge w:val="continue"/>
            <w:tcBorders>
              <w:left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营业执照副本</w:t>
            </w:r>
          </w:p>
        </w:tc>
        <w:tc>
          <w:tcPr>
            <w:tcW w:w="5381" w:type="dxa"/>
            <w:vMerge w:val="continue"/>
            <w:tcBorders>
              <w:left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1"/>
                <w:szCs w:val="21"/>
              </w:rPr>
            </w:pP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34" w:hRule="atLeast"/>
        </w:trPr>
        <w:tc>
          <w:tcPr>
            <w:tcW w:w="547"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p>
        </w:tc>
        <w:tc>
          <w:tcPr>
            <w:tcW w:w="1979" w:type="dxa"/>
            <w:vMerge w:val="continue"/>
            <w:tcBorders>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w w:val="80"/>
                <w:sz w:val="28"/>
                <w:szCs w:val="28"/>
              </w:rPr>
            </w:pPr>
          </w:p>
        </w:tc>
        <w:tc>
          <w:tcPr>
            <w:tcW w:w="1979" w:type="dxa"/>
            <w:vMerge w:val="continue"/>
            <w:tcBorders>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危险化学品经营许可证</w:t>
            </w:r>
          </w:p>
        </w:tc>
        <w:tc>
          <w:tcPr>
            <w:tcW w:w="5381" w:type="dxa"/>
            <w:vMerge w:val="continue"/>
            <w:tcBorders>
              <w:left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1"/>
                <w:szCs w:val="21"/>
              </w:rPr>
            </w:pP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0" w:hRule="atLeast"/>
        </w:trPr>
        <w:tc>
          <w:tcPr>
            <w:tcW w:w="547"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p>
        </w:tc>
        <w:tc>
          <w:tcPr>
            <w:tcW w:w="1979" w:type="dxa"/>
            <w:tcBorders>
              <w:top w:val="single" w:color="auto" w:sz="4" w:space="0"/>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w w:val="80"/>
                <w:sz w:val="28"/>
                <w:szCs w:val="28"/>
              </w:rPr>
            </w:pPr>
            <w:r>
              <w:rPr>
                <w:rFonts w:hint="eastAsia" w:ascii="仿宋_GB2312" w:hAnsi="仿宋_GB2312" w:eastAsia="仿宋_GB2312" w:cs="仿宋_GB2312"/>
                <w:w w:val="80"/>
                <w:sz w:val="28"/>
                <w:szCs w:val="28"/>
              </w:rPr>
              <w:t>生产、经营非药品类易制毒化学品注销备案（第三类经营）</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其他行政权力</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注销申请</w:t>
            </w:r>
          </w:p>
        </w:tc>
        <w:tc>
          <w:tcPr>
            <w:tcW w:w="5381" w:type="dxa"/>
            <w:vMerge w:val="continue"/>
            <w:tcBorders>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1"/>
                <w:szCs w:val="21"/>
              </w:rPr>
            </w:pP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0" w:hRule="atLeast"/>
        </w:trPr>
        <w:tc>
          <w:tcPr>
            <w:tcW w:w="547"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p>
        </w:tc>
        <w:tc>
          <w:tcPr>
            <w:tcW w:w="1979" w:type="dxa"/>
            <w:vMerge w:val="restart"/>
            <w:tcBorders>
              <w:top w:val="single" w:color="auto" w:sz="4" w:space="0"/>
              <w:left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w w:val="80"/>
                <w:sz w:val="28"/>
                <w:szCs w:val="28"/>
              </w:rPr>
            </w:pPr>
            <w:r>
              <w:rPr>
                <w:rFonts w:hint="eastAsia" w:ascii="仿宋_GB2312" w:hAnsi="仿宋_GB2312" w:eastAsia="仿宋_GB2312" w:cs="仿宋_GB2312"/>
                <w:w w:val="80"/>
                <w:sz w:val="28"/>
                <w:szCs w:val="28"/>
              </w:rPr>
              <w:t>生产、经营非药品类易制毒化学品企业增加生产或经营的备案品种的重新备案（第三类经营）</w:t>
            </w:r>
          </w:p>
        </w:tc>
        <w:tc>
          <w:tcPr>
            <w:tcW w:w="1979" w:type="dxa"/>
            <w:vMerge w:val="restart"/>
            <w:tcBorders>
              <w:top w:val="single" w:color="000000" w:sz="2" w:space="0"/>
              <w:left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其他行政权力</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sz w:val="28"/>
                <w:szCs w:val="28"/>
              </w:rPr>
              <w:t>备案申请书</w:t>
            </w:r>
          </w:p>
        </w:tc>
        <w:tc>
          <w:tcPr>
            <w:tcW w:w="5381" w:type="dxa"/>
            <w:vMerge w:val="restart"/>
            <w:tcBorders>
              <w:top w:val="single" w:color="000000" w:sz="2" w:space="0"/>
              <w:left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《非药品类易制毒化学品生产、经营许可办法》（安监总局令第5号）第二十条　第二类、第三类非药品类易制毒化学品经营单位进行备案时，应当提交下列资料：（一）非药品类易制毒化学品销售品种、销售量、主要流向等情况的备案申请书；（二）易制毒化学品管理制度；（三）产品包装说明和使用说明书；（四）工商营业执照副本（复印件）。属于危险化学品经营单位的，还应当提交危险化学品经营许可证，免于提交本条第（四）项所要求的文件、资料。</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0" w:hRule="atLeast"/>
        </w:trPr>
        <w:tc>
          <w:tcPr>
            <w:tcW w:w="547"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p>
        </w:tc>
        <w:tc>
          <w:tcPr>
            <w:tcW w:w="1979" w:type="dxa"/>
            <w:vMerge w:val="continue"/>
            <w:tcBorders>
              <w:left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979" w:type="dxa"/>
            <w:vMerge w:val="continue"/>
            <w:tcBorders>
              <w:left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sz w:val="28"/>
                <w:szCs w:val="28"/>
              </w:rPr>
              <w:t>产品包装说明和使用说明书</w:t>
            </w:r>
          </w:p>
        </w:tc>
        <w:tc>
          <w:tcPr>
            <w:tcW w:w="5381" w:type="dxa"/>
            <w:vMerge w:val="continue"/>
            <w:tcBorders>
              <w:left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1"/>
                <w:szCs w:val="21"/>
              </w:rPr>
            </w:pP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0" w:hRule="atLeast"/>
        </w:trPr>
        <w:tc>
          <w:tcPr>
            <w:tcW w:w="547"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p>
        </w:tc>
        <w:tc>
          <w:tcPr>
            <w:tcW w:w="1979" w:type="dxa"/>
            <w:vMerge w:val="continue"/>
            <w:tcBorders>
              <w:left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979" w:type="dxa"/>
            <w:vMerge w:val="continue"/>
            <w:tcBorders>
              <w:left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sz w:val="28"/>
                <w:szCs w:val="28"/>
              </w:rPr>
              <w:t>营业执照副本</w:t>
            </w:r>
          </w:p>
        </w:tc>
        <w:tc>
          <w:tcPr>
            <w:tcW w:w="5381" w:type="dxa"/>
            <w:vMerge w:val="continue"/>
            <w:tcBorders>
              <w:left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1"/>
                <w:szCs w:val="21"/>
              </w:rPr>
            </w:pP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3" w:hRule="atLeast"/>
        </w:trPr>
        <w:tc>
          <w:tcPr>
            <w:tcW w:w="547"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p>
        </w:tc>
        <w:tc>
          <w:tcPr>
            <w:tcW w:w="1979" w:type="dxa"/>
            <w:vMerge w:val="continue"/>
            <w:tcBorders>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979" w:type="dxa"/>
            <w:vMerge w:val="continue"/>
            <w:tcBorders>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sz w:val="28"/>
                <w:szCs w:val="28"/>
              </w:rPr>
              <w:t>危险化学品经营许可证</w:t>
            </w:r>
          </w:p>
        </w:tc>
        <w:tc>
          <w:tcPr>
            <w:tcW w:w="5381" w:type="dxa"/>
            <w:vMerge w:val="continue"/>
            <w:tcBorders>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1"/>
                <w:szCs w:val="21"/>
              </w:rPr>
            </w:pP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5" w:hRule="atLeast"/>
        </w:trPr>
        <w:tc>
          <w:tcPr>
            <w:tcW w:w="547" w:type="dxa"/>
            <w:vMerge w:val="restart"/>
            <w:tcBorders>
              <w:top w:val="single" w:color="auto" w:sz="4" w:space="0"/>
              <w:left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sz w:val="28"/>
                <w:szCs w:val="28"/>
              </w:rPr>
            </w:pPr>
            <w:r>
              <w:rPr>
                <w:rFonts w:hint="eastAsia" w:ascii="黑体" w:hAnsi="黑体" w:eastAsia="黑体" w:cs="黑体"/>
                <w:sz w:val="28"/>
                <w:szCs w:val="28"/>
              </w:rPr>
              <w:t>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黑体" w:hAnsi="黑体" w:eastAsia="黑体" w:cs="黑体"/>
                <w:color w:val="auto"/>
                <w:kern w:val="0"/>
                <w:sz w:val="28"/>
                <w:szCs w:val="28"/>
                <w:lang w:val="en-US" w:eastAsia="zh-CN" w:bidi="ar"/>
              </w:rPr>
            </w:pPr>
            <w:r>
              <w:rPr>
                <w:rFonts w:hint="eastAsia" w:ascii="黑体" w:hAnsi="黑体" w:eastAsia="黑体" w:cs="黑体"/>
                <w:sz w:val="28"/>
                <w:szCs w:val="28"/>
              </w:rPr>
              <w:t>号</w:t>
            </w:r>
          </w:p>
        </w:tc>
        <w:tc>
          <w:tcPr>
            <w:tcW w:w="1979" w:type="dxa"/>
            <w:vMerge w:val="restart"/>
            <w:tcBorders>
              <w:top w:val="single" w:color="auto" w:sz="4" w:space="0"/>
              <w:left w:val="single" w:color="000000" w:sz="2" w:space="0"/>
              <w:right w:val="single" w:color="auto" w:sz="4"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黑体" w:hAnsi="黑体" w:eastAsia="黑体" w:cs="黑体"/>
                <w:color w:val="auto"/>
                <w:kern w:val="0"/>
                <w:sz w:val="28"/>
                <w:szCs w:val="28"/>
                <w:lang w:val="en-US" w:eastAsia="zh-CN" w:bidi="ar"/>
              </w:rPr>
            </w:pPr>
            <w:r>
              <w:rPr>
                <w:rFonts w:hint="eastAsia" w:ascii="黑体" w:hAnsi="黑体" w:eastAsia="黑体" w:cs="黑体"/>
                <w:sz w:val="28"/>
                <w:szCs w:val="28"/>
                <w:lang w:val="en-US" w:eastAsia="zh-CN"/>
              </w:rPr>
              <w:t>服务事项</w:t>
            </w:r>
          </w:p>
        </w:tc>
        <w:tc>
          <w:tcPr>
            <w:tcW w:w="1979" w:type="dxa"/>
            <w:vMerge w:val="restart"/>
            <w:tcBorders>
              <w:top w:val="single" w:color="000000" w:sz="2" w:space="0"/>
              <w:left w:val="single" w:color="auto" w:sz="4" w:space="0"/>
              <w:right w:val="single" w:color="auto" w:sz="4"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黑体" w:hAnsi="黑体" w:eastAsia="黑体" w:cs="黑体"/>
                <w:color w:val="auto"/>
                <w:kern w:val="0"/>
                <w:sz w:val="28"/>
                <w:szCs w:val="28"/>
                <w:lang w:val="en-US" w:eastAsia="zh-CN" w:bidi="ar"/>
              </w:rPr>
            </w:pPr>
            <w:r>
              <w:rPr>
                <w:rFonts w:hint="eastAsia" w:ascii="黑体" w:hAnsi="黑体" w:eastAsia="黑体" w:cs="黑体"/>
                <w:sz w:val="28"/>
                <w:szCs w:val="28"/>
                <w:lang w:val="en-US" w:eastAsia="zh-CN"/>
              </w:rPr>
              <w:t>事项类型</w:t>
            </w:r>
          </w:p>
        </w:tc>
        <w:tc>
          <w:tcPr>
            <w:tcW w:w="1981" w:type="dxa"/>
            <w:vMerge w:val="restart"/>
            <w:tcBorders>
              <w:top w:val="single" w:color="000000" w:sz="2" w:space="0"/>
              <w:left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黑体" w:hAnsi="黑体" w:eastAsia="黑体" w:cs="黑体"/>
                <w:color w:val="auto"/>
                <w:kern w:val="0"/>
                <w:sz w:val="28"/>
                <w:szCs w:val="28"/>
                <w:lang w:val="en-US" w:eastAsia="zh-CN" w:bidi="ar"/>
              </w:rPr>
            </w:pPr>
            <w:r>
              <w:rPr>
                <w:rFonts w:hint="eastAsia" w:ascii="黑体" w:hAnsi="黑体" w:eastAsia="黑体" w:cs="黑体"/>
                <w:sz w:val="28"/>
                <w:szCs w:val="28"/>
              </w:rPr>
              <w:t>证明</w:t>
            </w:r>
            <w:r>
              <w:rPr>
                <w:rFonts w:hint="eastAsia" w:ascii="黑体" w:hAnsi="黑体" w:eastAsia="黑体" w:cs="黑体"/>
                <w:sz w:val="28"/>
                <w:szCs w:val="28"/>
                <w:lang w:val="en-US" w:eastAsia="zh-CN"/>
              </w:rPr>
              <w:t>材料</w:t>
            </w:r>
          </w:p>
        </w:tc>
        <w:tc>
          <w:tcPr>
            <w:tcW w:w="5381" w:type="dxa"/>
            <w:vMerge w:val="restart"/>
            <w:tcBorders>
              <w:top w:val="single" w:color="000000" w:sz="2" w:space="0"/>
              <w:left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sz w:val="28"/>
                <w:szCs w:val="28"/>
              </w:rPr>
            </w:pPr>
            <w:r>
              <w:rPr>
                <w:rFonts w:hint="eastAsia" w:ascii="黑体" w:hAnsi="黑体" w:eastAsia="黑体" w:cs="黑体"/>
                <w:sz w:val="28"/>
                <w:szCs w:val="28"/>
              </w:rPr>
              <w:t>设定依据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黑体" w:hAnsi="黑体" w:eastAsia="黑体" w:cs="黑体"/>
                <w:color w:val="auto"/>
                <w:kern w:val="0"/>
                <w:sz w:val="28"/>
                <w:szCs w:val="28"/>
                <w:lang w:val="en-US" w:eastAsia="zh-CN" w:bidi="ar"/>
              </w:rPr>
            </w:pPr>
            <w:r>
              <w:rPr>
                <w:rFonts w:hint="eastAsia" w:ascii="黑体" w:hAnsi="黑体" w:eastAsia="黑体" w:cs="黑体"/>
                <w:sz w:val="28"/>
                <w:szCs w:val="28"/>
              </w:rPr>
              <w:t>（名称、文号</w:t>
            </w:r>
            <w:r>
              <w:rPr>
                <w:rFonts w:hint="eastAsia" w:ascii="黑体" w:hAnsi="黑体" w:eastAsia="黑体" w:cs="黑体"/>
                <w:sz w:val="28"/>
                <w:szCs w:val="28"/>
                <w:lang w:eastAsia="zh-CN"/>
              </w:rPr>
              <w:t>、条款</w:t>
            </w:r>
            <w:r>
              <w:rPr>
                <w:rFonts w:hint="eastAsia" w:ascii="黑体" w:hAnsi="黑体" w:eastAsia="黑体" w:cs="黑体"/>
                <w:sz w:val="28"/>
                <w:szCs w:val="28"/>
              </w:rPr>
              <w:t>）</w:t>
            </w:r>
          </w:p>
        </w:tc>
        <w:tc>
          <w:tcPr>
            <w:tcW w:w="2107" w:type="dxa"/>
            <w:gridSpan w:val="2"/>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黑体" w:hAnsi="黑体" w:eastAsia="黑体" w:cs="黑体"/>
                <w:sz w:val="28"/>
                <w:szCs w:val="28"/>
              </w:rPr>
              <w:t>清理意见</w:t>
            </w:r>
          </w:p>
        </w:tc>
        <w:tc>
          <w:tcPr>
            <w:tcW w:w="2159" w:type="dxa"/>
            <w:vMerge w:val="restart"/>
            <w:tcBorders>
              <w:top w:val="single" w:color="auto" w:sz="4" w:space="0"/>
              <w:left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黑体" w:hAnsi="黑体" w:eastAsia="黑体" w:cs="黑体"/>
                <w:sz w:val="28"/>
                <w:szCs w:val="28"/>
                <w:lang w:val="en-US" w:eastAsia="zh-CN"/>
              </w:rPr>
              <w:t>是否适用告知承诺制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2" w:hRule="atLeast"/>
        </w:trPr>
        <w:tc>
          <w:tcPr>
            <w:tcW w:w="547" w:type="dxa"/>
            <w:vMerge w:val="continue"/>
            <w:tcBorders>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p>
        </w:tc>
        <w:tc>
          <w:tcPr>
            <w:tcW w:w="1979" w:type="dxa"/>
            <w:vMerge w:val="continue"/>
            <w:tcBorders>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979" w:type="dxa"/>
            <w:vMerge w:val="continue"/>
            <w:tcBorders>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981" w:type="dxa"/>
            <w:vMerge w:val="continue"/>
            <w:tcBorders>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5381" w:type="dxa"/>
            <w:vMerge w:val="continue"/>
            <w:tcBorders>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1"/>
                <w:szCs w:val="21"/>
              </w:rPr>
            </w:pP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黑体" w:hAnsi="黑体" w:eastAsia="黑体" w:cs="黑体"/>
                <w:color w:val="auto"/>
                <w:kern w:val="0"/>
                <w:sz w:val="28"/>
                <w:szCs w:val="28"/>
                <w:lang w:val="en-US" w:eastAsia="zh-CN" w:bidi="ar"/>
              </w:rPr>
            </w:pPr>
            <w:r>
              <w:rPr>
                <w:rFonts w:hint="eastAsia" w:ascii="黑体" w:hAnsi="黑体" w:eastAsia="黑体" w:cs="黑体"/>
                <w:sz w:val="28"/>
                <w:szCs w:val="28"/>
                <w:lang w:val="en-US" w:eastAsia="zh-CN"/>
              </w:rPr>
              <w:t>取消</w:t>
            </w: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黑体" w:hAnsi="黑体" w:eastAsia="黑体" w:cs="黑体"/>
                <w:color w:val="auto"/>
                <w:kern w:val="0"/>
                <w:sz w:val="28"/>
                <w:szCs w:val="28"/>
                <w:lang w:val="en-US" w:eastAsia="zh-CN" w:bidi="ar"/>
              </w:rPr>
            </w:pPr>
            <w:r>
              <w:rPr>
                <w:rFonts w:hint="eastAsia" w:ascii="黑体" w:hAnsi="黑体" w:eastAsia="黑体" w:cs="黑体"/>
                <w:sz w:val="28"/>
                <w:szCs w:val="28"/>
              </w:rPr>
              <w:t>保留</w:t>
            </w:r>
          </w:p>
        </w:tc>
        <w:tc>
          <w:tcPr>
            <w:tcW w:w="2159" w:type="dxa"/>
            <w:vMerge w:val="continue"/>
            <w:tcBorders>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0" w:hRule="atLeast"/>
        </w:trPr>
        <w:tc>
          <w:tcPr>
            <w:tcW w:w="547"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p>
        </w:tc>
        <w:tc>
          <w:tcPr>
            <w:tcW w:w="1979" w:type="dxa"/>
            <w:vMerge w:val="restart"/>
            <w:tcBorders>
              <w:top w:val="single" w:color="auto" w:sz="4" w:space="0"/>
              <w:left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生产、经营非药品类易制毒化学品备案证明期满后重新备案（第三类经营）</w:t>
            </w:r>
          </w:p>
        </w:tc>
        <w:tc>
          <w:tcPr>
            <w:tcW w:w="1979" w:type="dxa"/>
            <w:vMerge w:val="restart"/>
            <w:tcBorders>
              <w:top w:val="single" w:color="000000" w:sz="2" w:space="0"/>
              <w:left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其他行政权力</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sz w:val="28"/>
                <w:szCs w:val="28"/>
              </w:rPr>
              <w:t>备案申请书</w:t>
            </w:r>
          </w:p>
        </w:tc>
        <w:tc>
          <w:tcPr>
            <w:tcW w:w="5381" w:type="dxa"/>
            <w:vMerge w:val="restart"/>
            <w:tcBorders>
              <w:top w:val="single" w:color="000000" w:sz="2" w:space="0"/>
              <w:left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《非药品类易制毒化学品生产、经营许可办法》（安监总局令第5号）第二十条　第二类、第三类非药品类易制毒化学品经营单位进行备案时，应当提交下列资料：（一）非药品类易制毒化学品销售品种、销售量、主要流向等情况的备案申请书；（二）易制毒化学品管理制度；（三）产品包装说明和使用说明书；（四）工商营业执照副本（复印件）。属于危险化学品经营单位的，还应当提交危险化学品经营许可证，免于提交本条第（四）项所要求的文件、资料。</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7" w:hRule="atLeast"/>
        </w:trPr>
        <w:tc>
          <w:tcPr>
            <w:tcW w:w="547"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p>
        </w:tc>
        <w:tc>
          <w:tcPr>
            <w:tcW w:w="1979" w:type="dxa"/>
            <w:vMerge w:val="continue"/>
            <w:tcBorders>
              <w:left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979" w:type="dxa"/>
            <w:vMerge w:val="continue"/>
            <w:tcBorders>
              <w:left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sz w:val="28"/>
                <w:szCs w:val="28"/>
              </w:rPr>
              <w:t>产品包装说明和使用说明书</w:t>
            </w:r>
          </w:p>
        </w:tc>
        <w:tc>
          <w:tcPr>
            <w:tcW w:w="5381" w:type="dxa"/>
            <w:vMerge w:val="continue"/>
            <w:tcBorders>
              <w:left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1"/>
                <w:szCs w:val="21"/>
              </w:rPr>
            </w:pP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0" w:hRule="atLeast"/>
        </w:trPr>
        <w:tc>
          <w:tcPr>
            <w:tcW w:w="547"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p>
        </w:tc>
        <w:tc>
          <w:tcPr>
            <w:tcW w:w="1979" w:type="dxa"/>
            <w:vMerge w:val="continue"/>
            <w:tcBorders>
              <w:left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979" w:type="dxa"/>
            <w:vMerge w:val="continue"/>
            <w:tcBorders>
              <w:left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sz w:val="28"/>
                <w:szCs w:val="28"/>
              </w:rPr>
              <w:t>营业执照副本</w:t>
            </w:r>
          </w:p>
        </w:tc>
        <w:tc>
          <w:tcPr>
            <w:tcW w:w="5381" w:type="dxa"/>
            <w:vMerge w:val="continue"/>
            <w:tcBorders>
              <w:left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1"/>
                <w:szCs w:val="21"/>
              </w:rPr>
            </w:pP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8" w:hRule="atLeast"/>
        </w:trPr>
        <w:tc>
          <w:tcPr>
            <w:tcW w:w="547"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p>
        </w:tc>
        <w:tc>
          <w:tcPr>
            <w:tcW w:w="1979" w:type="dxa"/>
            <w:vMerge w:val="continue"/>
            <w:tcBorders>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979" w:type="dxa"/>
            <w:vMerge w:val="continue"/>
            <w:tcBorders>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sz w:val="28"/>
                <w:szCs w:val="28"/>
              </w:rPr>
              <w:t>危险化学品经营许可证</w:t>
            </w:r>
          </w:p>
        </w:tc>
        <w:tc>
          <w:tcPr>
            <w:tcW w:w="5381" w:type="dxa"/>
            <w:vMerge w:val="continue"/>
            <w:tcBorders>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1"/>
                <w:szCs w:val="21"/>
              </w:rPr>
            </w:pP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0" w:hRule="atLeast"/>
        </w:trPr>
        <w:tc>
          <w:tcPr>
            <w:tcW w:w="547"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p>
        </w:tc>
        <w:tc>
          <w:tcPr>
            <w:tcW w:w="1979" w:type="dxa"/>
            <w:vMerge w:val="restart"/>
            <w:tcBorders>
              <w:top w:val="single" w:color="auto" w:sz="4" w:space="0"/>
              <w:left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生产、经营非药品类易制毒化学品企业登记信息变化后重新备案（第三类经营）</w:t>
            </w:r>
          </w:p>
        </w:tc>
        <w:tc>
          <w:tcPr>
            <w:tcW w:w="1979" w:type="dxa"/>
            <w:vMerge w:val="restart"/>
            <w:tcBorders>
              <w:top w:val="single" w:color="000000" w:sz="2" w:space="0"/>
              <w:left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其他行政权力</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sz w:val="28"/>
                <w:szCs w:val="28"/>
              </w:rPr>
              <w:t>备案申请书</w:t>
            </w:r>
          </w:p>
        </w:tc>
        <w:tc>
          <w:tcPr>
            <w:tcW w:w="5381" w:type="dxa"/>
            <w:vMerge w:val="restart"/>
            <w:tcBorders>
              <w:top w:val="single" w:color="000000" w:sz="2" w:space="0"/>
              <w:left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《非药品类易制毒化学品生产、经营许可办法》（安监总局令第5号）第二十条　第二类、第三类非药品类易制毒化学品经营单位进行备案时，应当提交下列资料：（一）非药品类易制毒化学品销售品种、销售量、主要流向等情况的备案申请书；（二）易制毒化学品管理制度；（三）产品包装说明和使用说明书；（四）工商营业执照副本（复印件）。属于危险化学品经营单位的，还应当提交危险化学品经营许可证，免于提交本条第（四）项所要求的文件、资料。</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7" w:hRule="atLeast"/>
        </w:trPr>
        <w:tc>
          <w:tcPr>
            <w:tcW w:w="547"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p>
        </w:tc>
        <w:tc>
          <w:tcPr>
            <w:tcW w:w="1979" w:type="dxa"/>
            <w:vMerge w:val="continue"/>
            <w:tcBorders>
              <w:left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979" w:type="dxa"/>
            <w:vMerge w:val="continue"/>
            <w:tcBorders>
              <w:left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sz w:val="28"/>
                <w:szCs w:val="28"/>
              </w:rPr>
              <w:t>产品包装说明和使用说明书</w:t>
            </w:r>
          </w:p>
        </w:tc>
        <w:tc>
          <w:tcPr>
            <w:tcW w:w="5381" w:type="dxa"/>
            <w:vMerge w:val="continue"/>
            <w:tcBorders>
              <w:left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1"/>
                <w:szCs w:val="21"/>
              </w:rPr>
            </w:pP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0" w:hRule="atLeast"/>
        </w:trPr>
        <w:tc>
          <w:tcPr>
            <w:tcW w:w="547"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p>
        </w:tc>
        <w:tc>
          <w:tcPr>
            <w:tcW w:w="1979" w:type="dxa"/>
            <w:vMerge w:val="continue"/>
            <w:tcBorders>
              <w:left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979" w:type="dxa"/>
            <w:vMerge w:val="continue"/>
            <w:tcBorders>
              <w:left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sz w:val="28"/>
                <w:szCs w:val="28"/>
              </w:rPr>
              <w:t>营业执照副本</w:t>
            </w:r>
          </w:p>
        </w:tc>
        <w:tc>
          <w:tcPr>
            <w:tcW w:w="5381" w:type="dxa"/>
            <w:vMerge w:val="continue"/>
            <w:tcBorders>
              <w:left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1"/>
                <w:szCs w:val="21"/>
              </w:rPr>
            </w:pP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15" w:hRule="atLeast"/>
        </w:trPr>
        <w:tc>
          <w:tcPr>
            <w:tcW w:w="547"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p>
        </w:tc>
        <w:tc>
          <w:tcPr>
            <w:tcW w:w="1979" w:type="dxa"/>
            <w:vMerge w:val="continue"/>
            <w:tcBorders>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979" w:type="dxa"/>
            <w:vMerge w:val="continue"/>
            <w:tcBorders>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sz w:val="28"/>
                <w:szCs w:val="28"/>
              </w:rPr>
              <w:t>危险化学品经营许可证</w:t>
            </w:r>
          </w:p>
        </w:tc>
        <w:tc>
          <w:tcPr>
            <w:tcW w:w="5381" w:type="dxa"/>
            <w:vMerge w:val="continue"/>
            <w:tcBorders>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1"/>
                <w:szCs w:val="21"/>
              </w:rPr>
            </w:pP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8" w:hRule="atLeast"/>
        </w:trPr>
        <w:tc>
          <w:tcPr>
            <w:tcW w:w="547" w:type="dxa"/>
            <w:vMerge w:val="restart"/>
            <w:tcBorders>
              <w:top w:val="single" w:color="auto" w:sz="4" w:space="0"/>
              <w:left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sz w:val="28"/>
                <w:szCs w:val="28"/>
              </w:rPr>
            </w:pPr>
            <w:r>
              <w:rPr>
                <w:rFonts w:hint="eastAsia" w:ascii="黑体" w:hAnsi="黑体" w:eastAsia="黑体" w:cs="黑体"/>
                <w:sz w:val="28"/>
                <w:szCs w:val="28"/>
              </w:rPr>
              <w:t>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黑体" w:hAnsi="黑体" w:eastAsia="黑体" w:cs="黑体"/>
                <w:color w:val="auto"/>
                <w:kern w:val="0"/>
                <w:sz w:val="28"/>
                <w:szCs w:val="28"/>
                <w:lang w:val="en-US" w:eastAsia="zh-CN" w:bidi="ar"/>
              </w:rPr>
            </w:pPr>
            <w:r>
              <w:rPr>
                <w:rFonts w:hint="eastAsia" w:ascii="黑体" w:hAnsi="黑体" w:eastAsia="黑体" w:cs="黑体"/>
                <w:sz w:val="28"/>
                <w:szCs w:val="28"/>
              </w:rPr>
              <w:t>号</w:t>
            </w:r>
          </w:p>
        </w:tc>
        <w:tc>
          <w:tcPr>
            <w:tcW w:w="1979" w:type="dxa"/>
            <w:vMerge w:val="restart"/>
            <w:tcBorders>
              <w:top w:val="single" w:color="auto" w:sz="4" w:space="0"/>
              <w:left w:val="single" w:color="000000" w:sz="2" w:space="0"/>
              <w:right w:val="single" w:color="auto" w:sz="4"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黑体" w:hAnsi="黑体" w:eastAsia="黑体" w:cs="黑体"/>
                <w:color w:val="auto"/>
                <w:kern w:val="0"/>
                <w:sz w:val="28"/>
                <w:szCs w:val="28"/>
                <w:lang w:val="en-US" w:eastAsia="zh-CN" w:bidi="ar"/>
              </w:rPr>
            </w:pPr>
            <w:r>
              <w:rPr>
                <w:rFonts w:hint="eastAsia" w:ascii="黑体" w:hAnsi="黑体" w:eastAsia="黑体" w:cs="黑体"/>
                <w:sz w:val="28"/>
                <w:szCs w:val="28"/>
                <w:lang w:val="en-US" w:eastAsia="zh-CN"/>
              </w:rPr>
              <w:t>服务事项</w:t>
            </w:r>
          </w:p>
        </w:tc>
        <w:tc>
          <w:tcPr>
            <w:tcW w:w="1979" w:type="dxa"/>
            <w:vMerge w:val="restart"/>
            <w:tcBorders>
              <w:top w:val="single" w:color="000000" w:sz="2" w:space="0"/>
              <w:left w:val="single" w:color="auto" w:sz="4" w:space="0"/>
              <w:right w:val="single" w:color="auto" w:sz="4"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黑体" w:hAnsi="黑体" w:eastAsia="黑体" w:cs="黑体"/>
                <w:color w:val="auto"/>
                <w:kern w:val="0"/>
                <w:sz w:val="28"/>
                <w:szCs w:val="28"/>
                <w:lang w:val="en-US" w:eastAsia="zh-CN" w:bidi="ar"/>
              </w:rPr>
            </w:pPr>
            <w:r>
              <w:rPr>
                <w:rFonts w:hint="eastAsia" w:ascii="黑体" w:hAnsi="黑体" w:eastAsia="黑体" w:cs="黑体"/>
                <w:sz w:val="28"/>
                <w:szCs w:val="28"/>
                <w:lang w:val="en-US" w:eastAsia="zh-CN"/>
              </w:rPr>
              <w:t>事项类型</w:t>
            </w:r>
          </w:p>
        </w:tc>
        <w:tc>
          <w:tcPr>
            <w:tcW w:w="1981" w:type="dxa"/>
            <w:vMerge w:val="restart"/>
            <w:tcBorders>
              <w:top w:val="single" w:color="000000" w:sz="2" w:space="0"/>
              <w:left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黑体" w:hAnsi="黑体" w:eastAsia="黑体" w:cs="黑体"/>
                <w:color w:val="auto"/>
                <w:kern w:val="0"/>
                <w:sz w:val="28"/>
                <w:szCs w:val="28"/>
                <w:lang w:val="en-US" w:eastAsia="zh-CN" w:bidi="ar"/>
              </w:rPr>
            </w:pPr>
            <w:r>
              <w:rPr>
                <w:rFonts w:hint="eastAsia" w:ascii="黑体" w:hAnsi="黑体" w:eastAsia="黑体" w:cs="黑体"/>
                <w:sz w:val="28"/>
                <w:szCs w:val="28"/>
              </w:rPr>
              <w:t>证明</w:t>
            </w:r>
            <w:r>
              <w:rPr>
                <w:rFonts w:hint="eastAsia" w:ascii="黑体" w:hAnsi="黑体" w:eastAsia="黑体" w:cs="黑体"/>
                <w:sz w:val="28"/>
                <w:szCs w:val="28"/>
                <w:lang w:val="en-US" w:eastAsia="zh-CN"/>
              </w:rPr>
              <w:t>材料</w:t>
            </w:r>
          </w:p>
        </w:tc>
        <w:tc>
          <w:tcPr>
            <w:tcW w:w="5381" w:type="dxa"/>
            <w:vMerge w:val="restart"/>
            <w:tcBorders>
              <w:top w:val="single" w:color="000000" w:sz="2" w:space="0"/>
              <w:left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sz w:val="28"/>
                <w:szCs w:val="28"/>
              </w:rPr>
            </w:pPr>
            <w:r>
              <w:rPr>
                <w:rFonts w:hint="eastAsia" w:ascii="黑体" w:hAnsi="黑体" w:eastAsia="黑体" w:cs="黑体"/>
                <w:sz w:val="28"/>
                <w:szCs w:val="28"/>
              </w:rPr>
              <w:t>设定依据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黑体" w:hAnsi="黑体" w:eastAsia="黑体" w:cs="黑体"/>
                <w:color w:val="auto"/>
                <w:kern w:val="0"/>
                <w:sz w:val="28"/>
                <w:szCs w:val="28"/>
                <w:lang w:val="en-US" w:eastAsia="zh-CN" w:bidi="ar"/>
              </w:rPr>
            </w:pPr>
            <w:r>
              <w:rPr>
                <w:rFonts w:hint="eastAsia" w:ascii="黑体" w:hAnsi="黑体" w:eastAsia="黑体" w:cs="黑体"/>
                <w:sz w:val="28"/>
                <w:szCs w:val="28"/>
              </w:rPr>
              <w:t>（名称、文号</w:t>
            </w:r>
            <w:r>
              <w:rPr>
                <w:rFonts w:hint="eastAsia" w:ascii="黑体" w:hAnsi="黑体" w:eastAsia="黑体" w:cs="黑体"/>
                <w:sz w:val="28"/>
                <w:szCs w:val="28"/>
                <w:lang w:eastAsia="zh-CN"/>
              </w:rPr>
              <w:t>、条款</w:t>
            </w:r>
            <w:r>
              <w:rPr>
                <w:rFonts w:hint="eastAsia" w:ascii="黑体" w:hAnsi="黑体" w:eastAsia="黑体" w:cs="黑体"/>
                <w:sz w:val="28"/>
                <w:szCs w:val="28"/>
              </w:rPr>
              <w:t>）</w:t>
            </w:r>
          </w:p>
        </w:tc>
        <w:tc>
          <w:tcPr>
            <w:tcW w:w="2107" w:type="dxa"/>
            <w:gridSpan w:val="2"/>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黑体" w:hAnsi="黑体" w:eastAsia="黑体" w:cs="黑体"/>
                <w:sz w:val="28"/>
                <w:szCs w:val="28"/>
              </w:rPr>
              <w:t>清理意见</w:t>
            </w:r>
          </w:p>
        </w:tc>
        <w:tc>
          <w:tcPr>
            <w:tcW w:w="2159" w:type="dxa"/>
            <w:vMerge w:val="restart"/>
            <w:tcBorders>
              <w:top w:val="single" w:color="auto" w:sz="4" w:space="0"/>
              <w:left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黑体" w:hAnsi="黑体" w:eastAsia="黑体" w:cs="黑体"/>
                <w:sz w:val="28"/>
                <w:szCs w:val="28"/>
                <w:lang w:val="en-US" w:eastAsia="zh-CN"/>
              </w:rPr>
              <w:t>是否适用告知承诺制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8" w:hRule="atLeast"/>
        </w:trPr>
        <w:tc>
          <w:tcPr>
            <w:tcW w:w="547" w:type="dxa"/>
            <w:vMerge w:val="continue"/>
            <w:tcBorders>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p>
        </w:tc>
        <w:tc>
          <w:tcPr>
            <w:tcW w:w="1979" w:type="dxa"/>
            <w:vMerge w:val="continue"/>
            <w:tcBorders>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979" w:type="dxa"/>
            <w:vMerge w:val="continue"/>
            <w:tcBorders>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981" w:type="dxa"/>
            <w:vMerge w:val="continue"/>
            <w:tcBorders>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5381" w:type="dxa"/>
            <w:vMerge w:val="continue"/>
            <w:tcBorders>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1"/>
                <w:szCs w:val="21"/>
              </w:rPr>
            </w:pP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黑体" w:hAnsi="黑体" w:eastAsia="黑体" w:cs="黑体"/>
                <w:color w:val="auto"/>
                <w:kern w:val="0"/>
                <w:sz w:val="28"/>
                <w:szCs w:val="28"/>
                <w:lang w:val="en-US" w:eastAsia="zh-CN" w:bidi="ar"/>
              </w:rPr>
            </w:pPr>
            <w:r>
              <w:rPr>
                <w:rFonts w:hint="eastAsia" w:ascii="黑体" w:hAnsi="黑体" w:eastAsia="黑体" w:cs="黑体"/>
                <w:sz w:val="28"/>
                <w:szCs w:val="28"/>
                <w:lang w:val="en-US" w:eastAsia="zh-CN"/>
              </w:rPr>
              <w:t>取消</w:t>
            </w: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黑体" w:hAnsi="黑体" w:eastAsia="黑体" w:cs="黑体"/>
                <w:color w:val="auto"/>
                <w:kern w:val="0"/>
                <w:sz w:val="28"/>
                <w:szCs w:val="28"/>
                <w:lang w:val="en-US" w:eastAsia="zh-CN" w:bidi="ar"/>
              </w:rPr>
            </w:pPr>
            <w:r>
              <w:rPr>
                <w:rFonts w:hint="eastAsia" w:ascii="黑体" w:hAnsi="黑体" w:eastAsia="黑体" w:cs="黑体"/>
                <w:sz w:val="28"/>
                <w:szCs w:val="28"/>
              </w:rPr>
              <w:t>保留</w:t>
            </w:r>
          </w:p>
        </w:tc>
        <w:tc>
          <w:tcPr>
            <w:tcW w:w="2159" w:type="dxa"/>
            <w:vMerge w:val="continue"/>
            <w:tcBorders>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0" w:hRule="atLeast"/>
        </w:trPr>
        <w:tc>
          <w:tcPr>
            <w:tcW w:w="547"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p>
        </w:tc>
        <w:tc>
          <w:tcPr>
            <w:tcW w:w="1979" w:type="dxa"/>
            <w:vMerge w:val="restart"/>
            <w:tcBorders>
              <w:top w:val="single" w:color="auto" w:sz="4" w:space="0"/>
              <w:left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生产、经营非药品类易制毒化学品首次备案（第三类经营）</w:t>
            </w:r>
          </w:p>
        </w:tc>
        <w:tc>
          <w:tcPr>
            <w:tcW w:w="1979" w:type="dxa"/>
            <w:vMerge w:val="restart"/>
            <w:tcBorders>
              <w:top w:val="single" w:color="000000" w:sz="2" w:space="0"/>
              <w:left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其他行政权力</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sz w:val="28"/>
                <w:szCs w:val="28"/>
              </w:rPr>
              <w:t>备案申请书</w:t>
            </w:r>
          </w:p>
        </w:tc>
        <w:tc>
          <w:tcPr>
            <w:tcW w:w="5381" w:type="dxa"/>
            <w:vMerge w:val="restart"/>
            <w:tcBorders>
              <w:top w:val="single" w:color="000000" w:sz="2" w:space="0"/>
              <w:left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《非药品类易制毒化学品生产、经营许可办法》（安监总局令第5号）第二十条　第二类、第三类非药品类易制毒化学品经营单位进行备案时，应当提交下列资料：（一）非药品类易制毒化学品销售品种、销售量、主要流向等情况的备案申请书；（二）易制毒化学品管理制度；（三）产品包装说明和使用说明书；（四）工商营业执照副本（复印件）。属于危险化学品经营单位的，还应当提交危险化学品经营许可证，免于提交本条第（四）项所要求的文件、资料。</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0" w:hRule="atLeast"/>
        </w:trPr>
        <w:tc>
          <w:tcPr>
            <w:tcW w:w="547"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p>
        </w:tc>
        <w:tc>
          <w:tcPr>
            <w:tcW w:w="1979" w:type="dxa"/>
            <w:vMerge w:val="continue"/>
            <w:tcBorders>
              <w:left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979" w:type="dxa"/>
            <w:vMerge w:val="continue"/>
            <w:tcBorders>
              <w:left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sz w:val="28"/>
                <w:szCs w:val="28"/>
              </w:rPr>
              <w:t>产品包装说明和使用说明书</w:t>
            </w:r>
          </w:p>
        </w:tc>
        <w:tc>
          <w:tcPr>
            <w:tcW w:w="5381" w:type="dxa"/>
            <w:vMerge w:val="continue"/>
            <w:tcBorders>
              <w:left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1"/>
                <w:szCs w:val="21"/>
              </w:rPr>
            </w:pP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0" w:hRule="atLeast"/>
        </w:trPr>
        <w:tc>
          <w:tcPr>
            <w:tcW w:w="547"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p>
        </w:tc>
        <w:tc>
          <w:tcPr>
            <w:tcW w:w="1979" w:type="dxa"/>
            <w:vMerge w:val="continue"/>
            <w:tcBorders>
              <w:left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979" w:type="dxa"/>
            <w:vMerge w:val="continue"/>
            <w:tcBorders>
              <w:left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sz w:val="28"/>
                <w:szCs w:val="28"/>
              </w:rPr>
              <w:t>营业执照副本</w:t>
            </w:r>
          </w:p>
        </w:tc>
        <w:tc>
          <w:tcPr>
            <w:tcW w:w="5381" w:type="dxa"/>
            <w:vMerge w:val="continue"/>
            <w:tcBorders>
              <w:left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1"/>
                <w:szCs w:val="21"/>
              </w:rPr>
            </w:pP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0" w:hRule="atLeast"/>
        </w:trPr>
        <w:tc>
          <w:tcPr>
            <w:tcW w:w="547"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p>
        </w:tc>
        <w:tc>
          <w:tcPr>
            <w:tcW w:w="1979" w:type="dxa"/>
            <w:vMerge w:val="continue"/>
            <w:tcBorders>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979" w:type="dxa"/>
            <w:vMerge w:val="continue"/>
            <w:tcBorders>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sz w:val="28"/>
                <w:szCs w:val="28"/>
              </w:rPr>
              <w:t>危险化学品经营许可证</w:t>
            </w:r>
          </w:p>
        </w:tc>
        <w:tc>
          <w:tcPr>
            <w:tcW w:w="5381" w:type="dxa"/>
            <w:vMerge w:val="continue"/>
            <w:tcBorders>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1"/>
                <w:szCs w:val="21"/>
              </w:rPr>
            </w:pP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0" w:hRule="atLeast"/>
        </w:trPr>
        <w:tc>
          <w:tcPr>
            <w:tcW w:w="547"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p>
        </w:tc>
        <w:tc>
          <w:tcPr>
            <w:tcW w:w="1979" w:type="dxa"/>
            <w:vMerge w:val="restart"/>
            <w:tcBorders>
              <w:top w:val="single" w:color="auto" w:sz="4" w:space="0"/>
              <w:left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危险化学品重大危险源备案</w:t>
            </w:r>
          </w:p>
        </w:tc>
        <w:tc>
          <w:tcPr>
            <w:tcW w:w="1979" w:type="dxa"/>
            <w:vMerge w:val="restart"/>
            <w:tcBorders>
              <w:top w:val="single" w:color="000000" w:sz="2" w:space="0"/>
              <w:left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其他行政权力</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危险化学品重大危险源备案申请表</w:t>
            </w:r>
          </w:p>
        </w:tc>
        <w:tc>
          <w:tcPr>
            <w:tcW w:w="5381" w:type="dxa"/>
            <w:vMerge w:val="restart"/>
            <w:tcBorders>
              <w:top w:val="single" w:color="000000" w:sz="2" w:space="0"/>
              <w:left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《危险化学品重大危险源监督管理暂行规定》（2011年8月5日国家安全生产监督管理总局令第40号发布 根据2015年5月27日国家安全生产监督管理总局令第79号修正）第二十三条:危险化学品单位在完成重大危险源安全评估报告或者安全评价报告后15日内，应当填写重大危险源备案申请表，连同本规定第二十二条规定的重大危险源档案材料（其中第二款第五项规定的文件资料只需提供清单），报送所在地县级人民政府安全生产监督管理部门备案。</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县级人民政府安全生产监督管理部门应当每季度将辖区内的一级、二级重大危险源备案材料报送至设区的市级人民政府安全生产监督管理部门。设区的市级人民政府安全生产监督管理部门应当每半年将辖区内的一级重大危险源备案材料报送至省级人民政府安全生产监督管理部门。</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重大危险源出现本规定第十一条所列情形之一的，危险化学品单位应当及时更新档案，并向所在地县级人民政府安全生产监督管理部门重新备案。</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0" w:hRule="atLeast"/>
        </w:trPr>
        <w:tc>
          <w:tcPr>
            <w:tcW w:w="547"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p>
        </w:tc>
        <w:tc>
          <w:tcPr>
            <w:tcW w:w="1979" w:type="dxa"/>
            <w:vMerge w:val="continue"/>
            <w:tcBorders>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979" w:type="dxa"/>
            <w:vMerge w:val="continue"/>
            <w:tcBorders>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危险化学品重大危险源档案</w:t>
            </w:r>
          </w:p>
        </w:tc>
        <w:tc>
          <w:tcPr>
            <w:tcW w:w="5381" w:type="dxa"/>
            <w:vMerge w:val="continue"/>
            <w:tcBorders>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1"/>
                <w:szCs w:val="21"/>
              </w:rPr>
            </w:pP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2" w:hRule="atLeast"/>
        </w:trPr>
        <w:tc>
          <w:tcPr>
            <w:tcW w:w="547" w:type="dxa"/>
            <w:vMerge w:val="restart"/>
            <w:tcBorders>
              <w:top w:val="single" w:color="auto" w:sz="4" w:space="0"/>
              <w:left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sz w:val="28"/>
                <w:szCs w:val="28"/>
              </w:rPr>
            </w:pPr>
            <w:r>
              <w:rPr>
                <w:rFonts w:hint="eastAsia" w:ascii="黑体" w:hAnsi="黑体" w:eastAsia="黑体" w:cs="黑体"/>
                <w:sz w:val="28"/>
                <w:szCs w:val="28"/>
              </w:rPr>
              <w:t>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黑体" w:hAnsi="黑体" w:eastAsia="黑体" w:cs="黑体"/>
                <w:color w:val="auto"/>
                <w:kern w:val="0"/>
                <w:sz w:val="28"/>
                <w:szCs w:val="28"/>
                <w:lang w:val="en-US" w:eastAsia="zh-CN" w:bidi="ar"/>
              </w:rPr>
            </w:pPr>
            <w:r>
              <w:rPr>
                <w:rFonts w:hint="eastAsia" w:ascii="黑体" w:hAnsi="黑体" w:eastAsia="黑体" w:cs="黑体"/>
                <w:sz w:val="28"/>
                <w:szCs w:val="28"/>
              </w:rPr>
              <w:t>号</w:t>
            </w:r>
          </w:p>
        </w:tc>
        <w:tc>
          <w:tcPr>
            <w:tcW w:w="1979" w:type="dxa"/>
            <w:vMerge w:val="restart"/>
            <w:tcBorders>
              <w:top w:val="single" w:color="auto" w:sz="4" w:space="0"/>
              <w:left w:val="single" w:color="000000" w:sz="2" w:space="0"/>
              <w:right w:val="single" w:color="auto" w:sz="4"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黑体" w:hAnsi="黑体" w:eastAsia="黑体" w:cs="黑体"/>
                <w:color w:val="auto"/>
                <w:kern w:val="0"/>
                <w:sz w:val="28"/>
                <w:szCs w:val="28"/>
                <w:lang w:val="en-US" w:eastAsia="zh-CN" w:bidi="ar"/>
              </w:rPr>
            </w:pPr>
            <w:r>
              <w:rPr>
                <w:rFonts w:hint="eastAsia" w:ascii="黑体" w:hAnsi="黑体" w:eastAsia="黑体" w:cs="黑体"/>
                <w:sz w:val="28"/>
                <w:szCs w:val="28"/>
                <w:lang w:val="en-US" w:eastAsia="zh-CN"/>
              </w:rPr>
              <w:t>服务事项</w:t>
            </w:r>
          </w:p>
        </w:tc>
        <w:tc>
          <w:tcPr>
            <w:tcW w:w="1979" w:type="dxa"/>
            <w:vMerge w:val="restart"/>
            <w:tcBorders>
              <w:top w:val="single" w:color="000000" w:sz="2" w:space="0"/>
              <w:left w:val="single" w:color="auto" w:sz="4" w:space="0"/>
              <w:right w:val="single" w:color="auto" w:sz="4"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黑体" w:hAnsi="黑体" w:eastAsia="黑体" w:cs="黑体"/>
                <w:color w:val="auto"/>
                <w:kern w:val="0"/>
                <w:sz w:val="28"/>
                <w:szCs w:val="28"/>
                <w:lang w:val="en-US" w:eastAsia="zh-CN" w:bidi="ar"/>
              </w:rPr>
            </w:pPr>
            <w:r>
              <w:rPr>
                <w:rFonts w:hint="eastAsia" w:ascii="黑体" w:hAnsi="黑体" w:eastAsia="黑体" w:cs="黑体"/>
                <w:sz w:val="28"/>
                <w:szCs w:val="28"/>
                <w:lang w:val="en-US" w:eastAsia="zh-CN"/>
              </w:rPr>
              <w:t>事项类型</w:t>
            </w:r>
          </w:p>
        </w:tc>
        <w:tc>
          <w:tcPr>
            <w:tcW w:w="1981" w:type="dxa"/>
            <w:vMerge w:val="restart"/>
            <w:tcBorders>
              <w:top w:val="single" w:color="000000" w:sz="2" w:space="0"/>
              <w:left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黑体" w:hAnsi="黑体" w:eastAsia="黑体" w:cs="黑体"/>
                <w:color w:val="auto"/>
                <w:kern w:val="0"/>
                <w:sz w:val="28"/>
                <w:szCs w:val="28"/>
                <w:lang w:val="en-US" w:eastAsia="zh-CN" w:bidi="ar"/>
              </w:rPr>
            </w:pPr>
            <w:r>
              <w:rPr>
                <w:rFonts w:hint="eastAsia" w:ascii="黑体" w:hAnsi="黑体" w:eastAsia="黑体" w:cs="黑体"/>
                <w:sz w:val="28"/>
                <w:szCs w:val="28"/>
              </w:rPr>
              <w:t>证明</w:t>
            </w:r>
            <w:r>
              <w:rPr>
                <w:rFonts w:hint="eastAsia" w:ascii="黑体" w:hAnsi="黑体" w:eastAsia="黑体" w:cs="黑体"/>
                <w:sz w:val="28"/>
                <w:szCs w:val="28"/>
                <w:lang w:val="en-US" w:eastAsia="zh-CN"/>
              </w:rPr>
              <w:t>材料</w:t>
            </w:r>
          </w:p>
        </w:tc>
        <w:tc>
          <w:tcPr>
            <w:tcW w:w="5381" w:type="dxa"/>
            <w:vMerge w:val="restart"/>
            <w:tcBorders>
              <w:top w:val="single" w:color="000000" w:sz="2" w:space="0"/>
              <w:left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sz w:val="28"/>
                <w:szCs w:val="28"/>
              </w:rPr>
            </w:pPr>
            <w:r>
              <w:rPr>
                <w:rFonts w:hint="eastAsia" w:ascii="黑体" w:hAnsi="黑体" w:eastAsia="黑体" w:cs="黑体"/>
                <w:sz w:val="28"/>
                <w:szCs w:val="28"/>
              </w:rPr>
              <w:t>设定依据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黑体" w:hAnsi="黑体" w:eastAsia="黑体" w:cs="黑体"/>
                <w:color w:val="auto"/>
                <w:kern w:val="0"/>
                <w:sz w:val="28"/>
                <w:szCs w:val="28"/>
                <w:lang w:val="en-US" w:eastAsia="zh-CN" w:bidi="ar"/>
              </w:rPr>
            </w:pPr>
            <w:r>
              <w:rPr>
                <w:rFonts w:hint="eastAsia" w:ascii="黑体" w:hAnsi="黑体" w:eastAsia="黑体" w:cs="黑体"/>
                <w:sz w:val="28"/>
                <w:szCs w:val="28"/>
              </w:rPr>
              <w:t>（名称、文号</w:t>
            </w:r>
            <w:r>
              <w:rPr>
                <w:rFonts w:hint="eastAsia" w:ascii="黑体" w:hAnsi="黑体" w:eastAsia="黑体" w:cs="黑体"/>
                <w:sz w:val="28"/>
                <w:szCs w:val="28"/>
                <w:lang w:eastAsia="zh-CN"/>
              </w:rPr>
              <w:t>、条款</w:t>
            </w:r>
            <w:r>
              <w:rPr>
                <w:rFonts w:hint="eastAsia" w:ascii="黑体" w:hAnsi="黑体" w:eastAsia="黑体" w:cs="黑体"/>
                <w:sz w:val="28"/>
                <w:szCs w:val="28"/>
              </w:rPr>
              <w:t>）</w:t>
            </w:r>
          </w:p>
        </w:tc>
        <w:tc>
          <w:tcPr>
            <w:tcW w:w="2107" w:type="dxa"/>
            <w:gridSpan w:val="2"/>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黑体" w:hAnsi="黑体" w:eastAsia="黑体" w:cs="黑体"/>
                <w:sz w:val="28"/>
                <w:szCs w:val="28"/>
              </w:rPr>
              <w:t>清理意见</w:t>
            </w:r>
          </w:p>
        </w:tc>
        <w:tc>
          <w:tcPr>
            <w:tcW w:w="2159" w:type="dxa"/>
            <w:vMerge w:val="restart"/>
            <w:tcBorders>
              <w:top w:val="single" w:color="auto" w:sz="4" w:space="0"/>
              <w:left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黑体" w:hAnsi="黑体" w:eastAsia="黑体" w:cs="黑体"/>
                <w:sz w:val="28"/>
                <w:szCs w:val="28"/>
                <w:lang w:val="en-US" w:eastAsia="zh-CN"/>
              </w:rPr>
              <w:t>是否适用告知承诺制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99" w:hRule="atLeast"/>
        </w:trPr>
        <w:tc>
          <w:tcPr>
            <w:tcW w:w="547" w:type="dxa"/>
            <w:vMerge w:val="continue"/>
            <w:tcBorders>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p>
        </w:tc>
        <w:tc>
          <w:tcPr>
            <w:tcW w:w="1979" w:type="dxa"/>
            <w:vMerge w:val="continue"/>
            <w:tcBorders>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979" w:type="dxa"/>
            <w:vMerge w:val="continue"/>
            <w:tcBorders>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981" w:type="dxa"/>
            <w:vMerge w:val="continue"/>
            <w:tcBorders>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5381" w:type="dxa"/>
            <w:vMerge w:val="continue"/>
            <w:tcBorders>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1"/>
                <w:szCs w:val="21"/>
              </w:rPr>
            </w:pP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黑体" w:hAnsi="黑体" w:eastAsia="黑体" w:cs="黑体"/>
                <w:color w:val="auto"/>
                <w:kern w:val="0"/>
                <w:sz w:val="28"/>
                <w:szCs w:val="28"/>
                <w:lang w:val="en-US" w:eastAsia="zh-CN" w:bidi="ar"/>
              </w:rPr>
            </w:pPr>
            <w:r>
              <w:rPr>
                <w:rFonts w:hint="eastAsia" w:ascii="黑体" w:hAnsi="黑体" w:eastAsia="黑体" w:cs="黑体"/>
                <w:sz w:val="28"/>
                <w:szCs w:val="28"/>
                <w:lang w:val="en-US" w:eastAsia="zh-CN"/>
              </w:rPr>
              <w:t>取消</w:t>
            </w: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黑体" w:hAnsi="黑体" w:eastAsia="黑体" w:cs="黑体"/>
                <w:color w:val="auto"/>
                <w:kern w:val="0"/>
                <w:sz w:val="28"/>
                <w:szCs w:val="28"/>
                <w:lang w:val="en-US" w:eastAsia="zh-CN" w:bidi="ar"/>
              </w:rPr>
            </w:pPr>
            <w:r>
              <w:rPr>
                <w:rFonts w:hint="eastAsia" w:ascii="黑体" w:hAnsi="黑体" w:eastAsia="黑体" w:cs="黑体"/>
                <w:sz w:val="28"/>
                <w:szCs w:val="28"/>
              </w:rPr>
              <w:t>保留</w:t>
            </w:r>
          </w:p>
        </w:tc>
        <w:tc>
          <w:tcPr>
            <w:tcW w:w="2159" w:type="dxa"/>
            <w:vMerge w:val="continue"/>
            <w:tcBorders>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0" w:hRule="atLeast"/>
        </w:trPr>
        <w:tc>
          <w:tcPr>
            <w:tcW w:w="547"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p>
        </w:tc>
        <w:tc>
          <w:tcPr>
            <w:tcW w:w="1979" w:type="dxa"/>
            <w:vMerge w:val="restart"/>
            <w:tcBorders>
              <w:top w:val="single" w:color="auto" w:sz="4" w:space="0"/>
              <w:left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应急预案修订后重新备案</w:t>
            </w:r>
          </w:p>
        </w:tc>
        <w:tc>
          <w:tcPr>
            <w:tcW w:w="1979" w:type="dxa"/>
            <w:vMerge w:val="restart"/>
            <w:tcBorders>
              <w:top w:val="single" w:color="000000" w:sz="2" w:space="0"/>
              <w:left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其他行政权力</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应急预案备案申报表</w:t>
            </w:r>
          </w:p>
        </w:tc>
        <w:tc>
          <w:tcPr>
            <w:tcW w:w="5381" w:type="dxa"/>
            <w:vMerge w:val="restart"/>
            <w:tcBorders>
              <w:top w:val="single" w:color="000000" w:sz="2" w:space="0"/>
              <w:left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生产安全事故应急预案管理办法》（国家安全监管总局令2016年第88号）第四条第二款：县级以上地方各级安全生产监督管理部门负责本行政区域内应急预案的综合协调管理工作。县级以上地方各级其他负有安全生产监督管理职责的部门按照各自的职责负责有关行业、领域应急预案的管理工作。</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第二十六条：生产经营单位应当在应急预案公布之日起20个工作日内，按照分级属地原则，向安全生产监督管理部门和有关部门进行告知性备案。 中央企业总部（上市公司）的应急预案，报国务院主管的负有安全生产监督管理职责的部门备案，并抄送国家安全生产监督管理总局；其所属单位的应急预案报所在地的省、自治区、直辖市或者设区的市级人民政府主管的负有安全生产监督管理职责的部门备案，并抄送同级安全生产监督管理部门。前款规定以外的非煤矿山、金属冶炼和危险化学品生产、经营、储存企业，以及使用危险化学品达到国家规定数量的化工企业、烟花爆竹生产、批发经营企业的应急预案，按照隶属关系报所在地县级以上地方人民政府安全生产监督管理部门备案；其他生产经营单位应急预案的备案，由省、自治区、直辖市人民政府负有安全生产监督管理职责的部门确定。油气输送管道运营单位的应急预案，除按照本条第一款、第二款的规定备案外，还应当抄送所跨行政区域的县级安全生产监督管理部门。</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0" w:hRule="atLeast"/>
        </w:trPr>
        <w:tc>
          <w:tcPr>
            <w:tcW w:w="547"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p>
        </w:tc>
        <w:tc>
          <w:tcPr>
            <w:tcW w:w="1979" w:type="dxa"/>
            <w:vMerge w:val="continue"/>
            <w:tcBorders>
              <w:left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979" w:type="dxa"/>
            <w:vMerge w:val="continue"/>
            <w:tcBorders>
              <w:left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应急预案评审或者论证意见</w:t>
            </w:r>
          </w:p>
        </w:tc>
        <w:tc>
          <w:tcPr>
            <w:tcW w:w="5381" w:type="dxa"/>
            <w:vMerge w:val="continue"/>
            <w:tcBorders>
              <w:left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1"/>
                <w:szCs w:val="21"/>
              </w:rPr>
            </w:pP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0" w:hRule="atLeast"/>
        </w:trPr>
        <w:tc>
          <w:tcPr>
            <w:tcW w:w="547"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p>
        </w:tc>
        <w:tc>
          <w:tcPr>
            <w:tcW w:w="1979" w:type="dxa"/>
            <w:vMerge w:val="continue"/>
            <w:tcBorders>
              <w:left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979" w:type="dxa"/>
            <w:vMerge w:val="continue"/>
            <w:tcBorders>
              <w:left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应急预案文本及电子文档</w:t>
            </w:r>
          </w:p>
        </w:tc>
        <w:tc>
          <w:tcPr>
            <w:tcW w:w="5381" w:type="dxa"/>
            <w:vMerge w:val="continue"/>
            <w:tcBorders>
              <w:left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1"/>
                <w:szCs w:val="21"/>
              </w:rPr>
            </w:pP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0" w:hRule="atLeast"/>
        </w:trPr>
        <w:tc>
          <w:tcPr>
            <w:tcW w:w="547"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p>
        </w:tc>
        <w:tc>
          <w:tcPr>
            <w:tcW w:w="1979" w:type="dxa"/>
            <w:vMerge w:val="continue"/>
            <w:tcBorders>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979" w:type="dxa"/>
            <w:vMerge w:val="continue"/>
            <w:tcBorders>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风险评估结果和应急资源调查清单</w:t>
            </w:r>
          </w:p>
        </w:tc>
        <w:tc>
          <w:tcPr>
            <w:tcW w:w="5381" w:type="dxa"/>
            <w:vMerge w:val="continue"/>
            <w:tcBorders>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1"/>
                <w:szCs w:val="21"/>
              </w:rPr>
            </w:pP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547" w:type="dxa"/>
            <w:vMerge w:val="restart"/>
            <w:tcBorders>
              <w:top w:val="single" w:color="auto" w:sz="4" w:space="0"/>
              <w:left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sz w:val="28"/>
                <w:szCs w:val="28"/>
              </w:rPr>
            </w:pPr>
            <w:r>
              <w:rPr>
                <w:rFonts w:hint="eastAsia" w:ascii="黑体" w:hAnsi="黑体" w:eastAsia="黑体" w:cs="黑体"/>
                <w:sz w:val="28"/>
                <w:szCs w:val="28"/>
              </w:rPr>
              <w:t>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黑体" w:hAnsi="黑体" w:eastAsia="黑体" w:cs="黑体"/>
                <w:color w:val="auto"/>
                <w:kern w:val="0"/>
                <w:sz w:val="28"/>
                <w:szCs w:val="28"/>
                <w:lang w:val="en-US" w:eastAsia="zh-CN" w:bidi="ar"/>
              </w:rPr>
            </w:pPr>
            <w:r>
              <w:rPr>
                <w:rFonts w:hint="eastAsia" w:ascii="黑体" w:hAnsi="黑体" w:eastAsia="黑体" w:cs="黑体"/>
                <w:sz w:val="28"/>
                <w:szCs w:val="28"/>
              </w:rPr>
              <w:t>号</w:t>
            </w:r>
          </w:p>
        </w:tc>
        <w:tc>
          <w:tcPr>
            <w:tcW w:w="1979" w:type="dxa"/>
            <w:vMerge w:val="restart"/>
            <w:tcBorders>
              <w:top w:val="single" w:color="auto" w:sz="4" w:space="0"/>
              <w:left w:val="single" w:color="000000" w:sz="2" w:space="0"/>
              <w:right w:val="single" w:color="auto" w:sz="4"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黑体" w:hAnsi="黑体" w:eastAsia="黑体" w:cs="黑体"/>
                <w:color w:val="auto"/>
                <w:kern w:val="0"/>
                <w:sz w:val="28"/>
                <w:szCs w:val="28"/>
                <w:lang w:val="en-US" w:eastAsia="zh-CN" w:bidi="ar"/>
              </w:rPr>
            </w:pPr>
            <w:r>
              <w:rPr>
                <w:rFonts w:hint="eastAsia" w:ascii="黑体" w:hAnsi="黑体" w:eastAsia="黑体" w:cs="黑体"/>
                <w:sz w:val="28"/>
                <w:szCs w:val="28"/>
                <w:lang w:val="en-US" w:eastAsia="zh-CN"/>
              </w:rPr>
              <w:t>服务事项</w:t>
            </w:r>
          </w:p>
        </w:tc>
        <w:tc>
          <w:tcPr>
            <w:tcW w:w="1979" w:type="dxa"/>
            <w:vMerge w:val="restart"/>
            <w:tcBorders>
              <w:top w:val="single" w:color="000000" w:sz="2" w:space="0"/>
              <w:left w:val="single" w:color="auto" w:sz="4" w:space="0"/>
              <w:right w:val="single" w:color="auto" w:sz="4"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黑体" w:hAnsi="黑体" w:eastAsia="黑体" w:cs="黑体"/>
                <w:color w:val="auto"/>
                <w:kern w:val="0"/>
                <w:sz w:val="28"/>
                <w:szCs w:val="28"/>
                <w:lang w:val="en-US" w:eastAsia="zh-CN" w:bidi="ar"/>
              </w:rPr>
            </w:pPr>
            <w:r>
              <w:rPr>
                <w:rFonts w:hint="eastAsia" w:ascii="黑体" w:hAnsi="黑体" w:eastAsia="黑体" w:cs="黑体"/>
                <w:sz w:val="28"/>
                <w:szCs w:val="28"/>
                <w:lang w:val="en-US" w:eastAsia="zh-CN"/>
              </w:rPr>
              <w:t>事项类型</w:t>
            </w:r>
          </w:p>
        </w:tc>
        <w:tc>
          <w:tcPr>
            <w:tcW w:w="1981" w:type="dxa"/>
            <w:vMerge w:val="restart"/>
            <w:tcBorders>
              <w:top w:val="single" w:color="000000" w:sz="2" w:space="0"/>
              <w:left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黑体" w:hAnsi="黑体" w:eastAsia="黑体" w:cs="黑体"/>
                <w:color w:val="auto"/>
                <w:kern w:val="0"/>
                <w:sz w:val="28"/>
                <w:szCs w:val="28"/>
                <w:lang w:val="en-US" w:eastAsia="zh-CN" w:bidi="ar"/>
              </w:rPr>
            </w:pPr>
            <w:r>
              <w:rPr>
                <w:rFonts w:hint="eastAsia" w:ascii="黑体" w:hAnsi="黑体" w:eastAsia="黑体" w:cs="黑体"/>
                <w:sz w:val="28"/>
                <w:szCs w:val="28"/>
              </w:rPr>
              <w:t>证明</w:t>
            </w:r>
            <w:r>
              <w:rPr>
                <w:rFonts w:hint="eastAsia" w:ascii="黑体" w:hAnsi="黑体" w:eastAsia="黑体" w:cs="黑体"/>
                <w:sz w:val="28"/>
                <w:szCs w:val="28"/>
                <w:lang w:val="en-US" w:eastAsia="zh-CN"/>
              </w:rPr>
              <w:t>材料</w:t>
            </w:r>
          </w:p>
        </w:tc>
        <w:tc>
          <w:tcPr>
            <w:tcW w:w="5381" w:type="dxa"/>
            <w:vMerge w:val="restart"/>
            <w:tcBorders>
              <w:top w:val="single" w:color="000000" w:sz="2" w:space="0"/>
              <w:left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sz w:val="28"/>
                <w:szCs w:val="28"/>
              </w:rPr>
            </w:pPr>
            <w:r>
              <w:rPr>
                <w:rFonts w:hint="eastAsia" w:ascii="黑体" w:hAnsi="黑体" w:eastAsia="黑体" w:cs="黑体"/>
                <w:sz w:val="28"/>
                <w:szCs w:val="28"/>
              </w:rPr>
              <w:t>设定依据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黑体" w:hAnsi="黑体" w:eastAsia="黑体" w:cs="黑体"/>
                <w:color w:val="auto"/>
                <w:kern w:val="0"/>
                <w:sz w:val="28"/>
                <w:szCs w:val="28"/>
                <w:lang w:val="en-US" w:eastAsia="zh-CN" w:bidi="ar"/>
              </w:rPr>
            </w:pPr>
            <w:r>
              <w:rPr>
                <w:rFonts w:hint="eastAsia" w:ascii="黑体" w:hAnsi="黑体" w:eastAsia="黑体" w:cs="黑体"/>
                <w:sz w:val="28"/>
                <w:szCs w:val="28"/>
              </w:rPr>
              <w:t>（名称、文号</w:t>
            </w:r>
            <w:r>
              <w:rPr>
                <w:rFonts w:hint="eastAsia" w:ascii="黑体" w:hAnsi="黑体" w:eastAsia="黑体" w:cs="黑体"/>
                <w:sz w:val="28"/>
                <w:szCs w:val="28"/>
                <w:lang w:eastAsia="zh-CN"/>
              </w:rPr>
              <w:t>、条款</w:t>
            </w:r>
            <w:r>
              <w:rPr>
                <w:rFonts w:hint="eastAsia" w:ascii="黑体" w:hAnsi="黑体" w:eastAsia="黑体" w:cs="黑体"/>
                <w:sz w:val="28"/>
                <w:szCs w:val="28"/>
              </w:rPr>
              <w:t>）</w:t>
            </w:r>
          </w:p>
        </w:tc>
        <w:tc>
          <w:tcPr>
            <w:tcW w:w="2107" w:type="dxa"/>
            <w:gridSpan w:val="2"/>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黑体" w:hAnsi="黑体" w:eastAsia="黑体" w:cs="黑体"/>
                <w:sz w:val="28"/>
                <w:szCs w:val="28"/>
              </w:rPr>
              <w:t>清理意见</w:t>
            </w:r>
          </w:p>
        </w:tc>
        <w:tc>
          <w:tcPr>
            <w:tcW w:w="2159" w:type="dxa"/>
            <w:vMerge w:val="restart"/>
            <w:tcBorders>
              <w:top w:val="single" w:color="auto" w:sz="4" w:space="0"/>
              <w:left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黑体" w:hAnsi="黑体" w:eastAsia="黑体" w:cs="黑体"/>
                <w:sz w:val="28"/>
                <w:szCs w:val="28"/>
                <w:lang w:val="en-US" w:eastAsia="zh-CN"/>
              </w:rPr>
              <w:t>是否适用告知承诺制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9" w:hRule="atLeast"/>
        </w:trPr>
        <w:tc>
          <w:tcPr>
            <w:tcW w:w="547" w:type="dxa"/>
            <w:vMerge w:val="continue"/>
            <w:tcBorders>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p>
        </w:tc>
        <w:tc>
          <w:tcPr>
            <w:tcW w:w="1979" w:type="dxa"/>
            <w:vMerge w:val="continue"/>
            <w:tcBorders>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979" w:type="dxa"/>
            <w:vMerge w:val="continue"/>
            <w:tcBorders>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981" w:type="dxa"/>
            <w:vMerge w:val="continue"/>
            <w:tcBorders>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5381" w:type="dxa"/>
            <w:vMerge w:val="continue"/>
            <w:tcBorders>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1"/>
                <w:szCs w:val="21"/>
              </w:rPr>
            </w:pP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黑体" w:hAnsi="黑体" w:eastAsia="黑体" w:cs="黑体"/>
                <w:color w:val="auto"/>
                <w:kern w:val="0"/>
                <w:sz w:val="28"/>
                <w:szCs w:val="28"/>
                <w:lang w:val="en-US" w:eastAsia="zh-CN" w:bidi="ar"/>
              </w:rPr>
            </w:pPr>
            <w:r>
              <w:rPr>
                <w:rFonts w:hint="eastAsia" w:ascii="黑体" w:hAnsi="黑体" w:eastAsia="黑体" w:cs="黑体"/>
                <w:sz w:val="28"/>
                <w:szCs w:val="28"/>
                <w:lang w:val="en-US" w:eastAsia="zh-CN"/>
              </w:rPr>
              <w:t>取消</w:t>
            </w: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黑体" w:hAnsi="黑体" w:eastAsia="黑体" w:cs="黑体"/>
                <w:color w:val="auto"/>
                <w:kern w:val="0"/>
                <w:sz w:val="28"/>
                <w:szCs w:val="28"/>
                <w:lang w:val="en-US" w:eastAsia="zh-CN" w:bidi="ar"/>
              </w:rPr>
            </w:pPr>
            <w:r>
              <w:rPr>
                <w:rFonts w:hint="eastAsia" w:ascii="黑体" w:hAnsi="黑体" w:eastAsia="黑体" w:cs="黑体"/>
                <w:sz w:val="28"/>
                <w:szCs w:val="28"/>
              </w:rPr>
              <w:t>保留</w:t>
            </w:r>
          </w:p>
        </w:tc>
        <w:tc>
          <w:tcPr>
            <w:tcW w:w="2159" w:type="dxa"/>
            <w:vMerge w:val="continue"/>
            <w:tcBorders>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0" w:hRule="atLeast"/>
        </w:trPr>
        <w:tc>
          <w:tcPr>
            <w:tcW w:w="547"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p>
        </w:tc>
        <w:tc>
          <w:tcPr>
            <w:tcW w:w="1979" w:type="dxa"/>
            <w:vMerge w:val="restart"/>
            <w:tcBorders>
              <w:top w:val="single" w:color="auto" w:sz="4" w:space="0"/>
              <w:left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应急预案初次备案</w:t>
            </w:r>
          </w:p>
        </w:tc>
        <w:tc>
          <w:tcPr>
            <w:tcW w:w="1979" w:type="dxa"/>
            <w:vMerge w:val="restart"/>
            <w:tcBorders>
              <w:top w:val="single" w:color="000000" w:sz="2" w:space="0"/>
              <w:left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其他行政权力</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应急预案备案申报表</w:t>
            </w:r>
          </w:p>
        </w:tc>
        <w:tc>
          <w:tcPr>
            <w:tcW w:w="5381" w:type="dxa"/>
            <w:vMerge w:val="restart"/>
            <w:tcBorders>
              <w:top w:val="single" w:color="000000" w:sz="2" w:space="0"/>
              <w:left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生产安全事故应急预案管理办法》（国家安全监管总局令2016年第88号）第四条第二款：县级以上地方各级安全生产监督管理部门负责本行政区域内应急预案的综合协调管理工作。县级以上地方各级其他负有安全生产监督管理职责的部门按照各自的职责负责有关行业、领域应急预案的管理工作。</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第二十六条：生产经营单位应当在应急预案公布之日起20个工作日内，按照分级属地原则，向安全生产监督管理部门和有关部门进行告知性备案。 中央企业总部（上市公司）的应急预案，报国务院主管的负有安全生产监督管理职责的部门备案，并抄送国家安全生产监督管理总局；其所属单位的应急预案报所在地的省、自治区、直辖市或者设区的市级人民政府主管的负有安全生产监督管理职责的部门备案，并抄送同级安全生产监督管理部门。前款规定以外的非煤矿山、金属冶炼和危险化学品生产、经营、储存企业，以及使用危险化学品达到国家规定数量的化工企业、烟花爆竹生产、批发经营企业的应急预案，按照隶属关系报所在地县级以上地方人民政府安全生产监督管理部门备案；其他生产经营单位应急预案的备案，由省、自治区、直辖市人民政府负有安全生产监督管理职责的部门确定。油气输送管道运营单位的应急预案，除按照本条第一款、第二款的规定备案外，还应当抄送所跨行政区域的县级安全生产监督管理部门。</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0" w:hRule="atLeast"/>
        </w:trPr>
        <w:tc>
          <w:tcPr>
            <w:tcW w:w="547"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p>
        </w:tc>
        <w:tc>
          <w:tcPr>
            <w:tcW w:w="1979" w:type="dxa"/>
            <w:vMerge w:val="continue"/>
            <w:tcBorders>
              <w:left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979" w:type="dxa"/>
            <w:vMerge w:val="continue"/>
            <w:tcBorders>
              <w:left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应急预案评审或者论证意见</w:t>
            </w:r>
          </w:p>
        </w:tc>
        <w:tc>
          <w:tcPr>
            <w:tcW w:w="5381" w:type="dxa"/>
            <w:vMerge w:val="continue"/>
            <w:tcBorders>
              <w:left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1"/>
                <w:szCs w:val="21"/>
              </w:rPr>
            </w:pP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0" w:hRule="atLeast"/>
        </w:trPr>
        <w:tc>
          <w:tcPr>
            <w:tcW w:w="547"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p>
        </w:tc>
        <w:tc>
          <w:tcPr>
            <w:tcW w:w="1979" w:type="dxa"/>
            <w:vMerge w:val="continue"/>
            <w:tcBorders>
              <w:left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979" w:type="dxa"/>
            <w:vMerge w:val="continue"/>
            <w:tcBorders>
              <w:left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应急预案文本及电子文档</w:t>
            </w:r>
          </w:p>
        </w:tc>
        <w:tc>
          <w:tcPr>
            <w:tcW w:w="5381" w:type="dxa"/>
            <w:vMerge w:val="continue"/>
            <w:tcBorders>
              <w:left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1"/>
                <w:szCs w:val="21"/>
              </w:rPr>
            </w:pP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0" w:hRule="atLeast"/>
        </w:trPr>
        <w:tc>
          <w:tcPr>
            <w:tcW w:w="547"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p>
        </w:tc>
        <w:tc>
          <w:tcPr>
            <w:tcW w:w="1979" w:type="dxa"/>
            <w:vMerge w:val="continue"/>
            <w:tcBorders>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979" w:type="dxa"/>
            <w:vMerge w:val="continue"/>
            <w:tcBorders>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风险评估结果和应急资源调查清单</w:t>
            </w:r>
          </w:p>
        </w:tc>
        <w:tc>
          <w:tcPr>
            <w:tcW w:w="5381" w:type="dxa"/>
            <w:vMerge w:val="continue"/>
            <w:tcBorders>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1"/>
                <w:szCs w:val="21"/>
              </w:rPr>
            </w:pP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1" w:hRule="atLeast"/>
        </w:trPr>
        <w:tc>
          <w:tcPr>
            <w:tcW w:w="547" w:type="dxa"/>
            <w:vMerge w:val="restart"/>
            <w:tcBorders>
              <w:top w:val="single" w:color="auto" w:sz="4" w:space="0"/>
              <w:left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sz w:val="28"/>
                <w:szCs w:val="28"/>
              </w:rPr>
            </w:pPr>
            <w:r>
              <w:rPr>
                <w:rFonts w:hint="eastAsia" w:ascii="黑体" w:hAnsi="黑体" w:eastAsia="黑体" w:cs="黑体"/>
                <w:sz w:val="28"/>
                <w:szCs w:val="28"/>
              </w:rPr>
              <w:t>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黑体" w:hAnsi="黑体" w:eastAsia="黑体" w:cs="黑体"/>
                <w:color w:val="auto"/>
                <w:kern w:val="0"/>
                <w:sz w:val="28"/>
                <w:szCs w:val="28"/>
                <w:lang w:val="en-US" w:eastAsia="zh-CN" w:bidi="ar"/>
              </w:rPr>
            </w:pPr>
            <w:r>
              <w:rPr>
                <w:rFonts w:hint="eastAsia" w:ascii="黑体" w:hAnsi="黑体" w:eastAsia="黑体" w:cs="黑体"/>
                <w:sz w:val="28"/>
                <w:szCs w:val="28"/>
              </w:rPr>
              <w:t>号</w:t>
            </w:r>
          </w:p>
        </w:tc>
        <w:tc>
          <w:tcPr>
            <w:tcW w:w="1979" w:type="dxa"/>
            <w:vMerge w:val="restart"/>
            <w:tcBorders>
              <w:top w:val="single" w:color="auto" w:sz="4" w:space="0"/>
              <w:left w:val="single" w:color="000000" w:sz="2" w:space="0"/>
              <w:right w:val="single" w:color="auto" w:sz="4"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黑体" w:hAnsi="黑体" w:eastAsia="黑体" w:cs="黑体"/>
                <w:color w:val="auto"/>
                <w:kern w:val="0"/>
                <w:sz w:val="28"/>
                <w:szCs w:val="28"/>
                <w:lang w:val="en-US" w:eastAsia="zh-CN" w:bidi="ar"/>
              </w:rPr>
            </w:pPr>
            <w:r>
              <w:rPr>
                <w:rFonts w:hint="eastAsia" w:ascii="黑体" w:hAnsi="黑体" w:eastAsia="黑体" w:cs="黑体"/>
                <w:sz w:val="28"/>
                <w:szCs w:val="28"/>
                <w:lang w:val="en-US" w:eastAsia="zh-CN"/>
              </w:rPr>
              <w:t>服务事项</w:t>
            </w:r>
          </w:p>
        </w:tc>
        <w:tc>
          <w:tcPr>
            <w:tcW w:w="1979" w:type="dxa"/>
            <w:vMerge w:val="restart"/>
            <w:tcBorders>
              <w:top w:val="single" w:color="000000" w:sz="2" w:space="0"/>
              <w:left w:val="single" w:color="auto" w:sz="4" w:space="0"/>
              <w:right w:val="single" w:color="auto" w:sz="4"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黑体" w:hAnsi="黑体" w:eastAsia="黑体" w:cs="黑体"/>
                <w:color w:val="auto"/>
                <w:kern w:val="0"/>
                <w:sz w:val="28"/>
                <w:szCs w:val="28"/>
                <w:lang w:val="en-US" w:eastAsia="zh-CN" w:bidi="ar"/>
              </w:rPr>
            </w:pPr>
            <w:r>
              <w:rPr>
                <w:rFonts w:hint="eastAsia" w:ascii="黑体" w:hAnsi="黑体" w:eastAsia="黑体" w:cs="黑体"/>
                <w:sz w:val="28"/>
                <w:szCs w:val="28"/>
                <w:lang w:val="en-US" w:eastAsia="zh-CN"/>
              </w:rPr>
              <w:t>事项类型</w:t>
            </w:r>
          </w:p>
        </w:tc>
        <w:tc>
          <w:tcPr>
            <w:tcW w:w="1981" w:type="dxa"/>
            <w:vMerge w:val="restart"/>
            <w:tcBorders>
              <w:top w:val="single" w:color="000000" w:sz="2" w:space="0"/>
              <w:left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黑体" w:hAnsi="黑体" w:eastAsia="黑体" w:cs="黑体"/>
                <w:color w:val="auto"/>
                <w:kern w:val="0"/>
                <w:sz w:val="28"/>
                <w:szCs w:val="28"/>
                <w:lang w:val="en-US" w:eastAsia="zh-CN" w:bidi="ar"/>
              </w:rPr>
            </w:pPr>
            <w:r>
              <w:rPr>
                <w:rFonts w:hint="eastAsia" w:ascii="黑体" w:hAnsi="黑体" w:eastAsia="黑体" w:cs="黑体"/>
                <w:sz w:val="28"/>
                <w:szCs w:val="28"/>
              </w:rPr>
              <w:t>证明</w:t>
            </w:r>
            <w:r>
              <w:rPr>
                <w:rFonts w:hint="eastAsia" w:ascii="黑体" w:hAnsi="黑体" w:eastAsia="黑体" w:cs="黑体"/>
                <w:sz w:val="28"/>
                <w:szCs w:val="28"/>
                <w:lang w:val="en-US" w:eastAsia="zh-CN"/>
              </w:rPr>
              <w:t>材料</w:t>
            </w:r>
          </w:p>
        </w:tc>
        <w:tc>
          <w:tcPr>
            <w:tcW w:w="5381" w:type="dxa"/>
            <w:vMerge w:val="restart"/>
            <w:tcBorders>
              <w:top w:val="single" w:color="000000" w:sz="2" w:space="0"/>
              <w:left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sz w:val="28"/>
                <w:szCs w:val="28"/>
              </w:rPr>
            </w:pPr>
            <w:r>
              <w:rPr>
                <w:rFonts w:hint="eastAsia" w:ascii="黑体" w:hAnsi="黑体" w:eastAsia="黑体" w:cs="黑体"/>
                <w:sz w:val="28"/>
                <w:szCs w:val="28"/>
              </w:rPr>
              <w:t>设定依据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黑体" w:hAnsi="黑体" w:eastAsia="黑体" w:cs="黑体"/>
                <w:color w:val="auto"/>
                <w:kern w:val="0"/>
                <w:sz w:val="28"/>
                <w:szCs w:val="28"/>
                <w:lang w:val="en-US" w:eastAsia="zh-CN" w:bidi="ar"/>
              </w:rPr>
            </w:pPr>
            <w:r>
              <w:rPr>
                <w:rFonts w:hint="eastAsia" w:ascii="黑体" w:hAnsi="黑体" w:eastAsia="黑体" w:cs="黑体"/>
                <w:sz w:val="28"/>
                <w:szCs w:val="28"/>
              </w:rPr>
              <w:t>（名称、文号</w:t>
            </w:r>
            <w:r>
              <w:rPr>
                <w:rFonts w:hint="eastAsia" w:ascii="黑体" w:hAnsi="黑体" w:eastAsia="黑体" w:cs="黑体"/>
                <w:sz w:val="28"/>
                <w:szCs w:val="28"/>
                <w:lang w:eastAsia="zh-CN"/>
              </w:rPr>
              <w:t>、条款</w:t>
            </w:r>
            <w:r>
              <w:rPr>
                <w:rFonts w:hint="eastAsia" w:ascii="黑体" w:hAnsi="黑体" w:eastAsia="黑体" w:cs="黑体"/>
                <w:sz w:val="28"/>
                <w:szCs w:val="28"/>
              </w:rPr>
              <w:t>）</w:t>
            </w:r>
          </w:p>
        </w:tc>
        <w:tc>
          <w:tcPr>
            <w:tcW w:w="2107" w:type="dxa"/>
            <w:gridSpan w:val="2"/>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黑体" w:hAnsi="黑体" w:eastAsia="黑体" w:cs="黑体"/>
                <w:sz w:val="28"/>
                <w:szCs w:val="28"/>
              </w:rPr>
              <w:t>清理意见</w:t>
            </w:r>
          </w:p>
        </w:tc>
        <w:tc>
          <w:tcPr>
            <w:tcW w:w="2159" w:type="dxa"/>
            <w:vMerge w:val="restart"/>
            <w:tcBorders>
              <w:top w:val="single" w:color="auto" w:sz="4" w:space="0"/>
              <w:left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黑体" w:hAnsi="黑体" w:eastAsia="黑体" w:cs="黑体"/>
                <w:sz w:val="28"/>
                <w:szCs w:val="28"/>
                <w:lang w:val="en-US" w:eastAsia="zh-CN"/>
              </w:rPr>
              <w:t>是否适用告知承诺制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3" w:hRule="atLeast"/>
        </w:trPr>
        <w:tc>
          <w:tcPr>
            <w:tcW w:w="547" w:type="dxa"/>
            <w:vMerge w:val="continue"/>
            <w:tcBorders>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p>
        </w:tc>
        <w:tc>
          <w:tcPr>
            <w:tcW w:w="1979" w:type="dxa"/>
            <w:vMerge w:val="continue"/>
            <w:tcBorders>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979" w:type="dxa"/>
            <w:vMerge w:val="continue"/>
            <w:tcBorders>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981" w:type="dxa"/>
            <w:vMerge w:val="continue"/>
            <w:tcBorders>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5381" w:type="dxa"/>
            <w:vMerge w:val="continue"/>
            <w:tcBorders>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1"/>
                <w:szCs w:val="21"/>
              </w:rPr>
            </w:pP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黑体" w:hAnsi="黑体" w:eastAsia="黑体" w:cs="黑体"/>
                <w:color w:val="auto"/>
                <w:kern w:val="0"/>
                <w:sz w:val="28"/>
                <w:szCs w:val="28"/>
                <w:lang w:val="en-US" w:eastAsia="zh-CN" w:bidi="ar"/>
              </w:rPr>
            </w:pPr>
            <w:r>
              <w:rPr>
                <w:rFonts w:hint="eastAsia" w:ascii="黑体" w:hAnsi="黑体" w:eastAsia="黑体" w:cs="黑体"/>
                <w:sz w:val="28"/>
                <w:szCs w:val="28"/>
                <w:lang w:val="en-US" w:eastAsia="zh-CN"/>
              </w:rPr>
              <w:t>取消</w:t>
            </w: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黑体" w:hAnsi="黑体" w:eastAsia="黑体" w:cs="黑体"/>
                <w:color w:val="auto"/>
                <w:kern w:val="0"/>
                <w:sz w:val="28"/>
                <w:szCs w:val="28"/>
                <w:lang w:val="en-US" w:eastAsia="zh-CN" w:bidi="ar"/>
              </w:rPr>
            </w:pPr>
            <w:r>
              <w:rPr>
                <w:rFonts w:hint="eastAsia" w:ascii="黑体" w:hAnsi="黑体" w:eastAsia="黑体" w:cs="黑体"/>
                <w:sz w:val="28"/>
                <w:szCs w:val="28"/>
              </w:rPr>
              <w:t>保留</w:t>
            </w:r>
          </w:p>
        </w:tc>
        <w:tc>
          <w:tcPr>
            <w:tcW w:w="2159" w:type="dxa"/>
            <w:vMerge w:val="continue"/>
            <w:tcBorders>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0" w:hRule="atLeast"/>
        </w:trPr>
        <w:tc>
          <w:tcPr>
            <w:tcW w:w="547"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p>
        </w:tc>
        <w:tc>
          <w:tcPr>
            <w:tcW w:w="1979" w:type="dxa"/>
            <w:vMerge w:val="restart"/>
            <w:tcBorders>
              <w:top w:val="single" w:color="auto" w:sz="4" w:space="0"/>
              <w:left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危险化学品经营许可证遗失、损坏补（换）发</w:t>
            </w:r>
          </w:p>
        </w:tc>
        <w:tc>
          <w:tcPr>
            <w:tcW w:w="1979" w:type="dxa"/>
            <w:vMerge w:val="restart"/>
            <w:tcBorders>
              <w:top w:val="single" w:color="000000" w:sz="2" w:space="0"/>
              <w:left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公共服务</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补办申请书</w:t>
            </w:r>
          </w:p>
        </w:tc>
        <w:tc>
          <w:tcPr>
            <w:tcW w:w="5381" w:type="dxa"/>
            <w:vMerge w:val="restart"/>
            <w:tcBorders>
              <w:top w:val="single" w:color="000000" w:sz="2" w:space="0"/>
              <w:left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危险化学品安全管理条例》（国务院令第591号）第三十五条第一款：从事剧毒化学品、易制爆危险化学品经营的企业，应当向所在地设区的市级人民政府安全生产监督管理部门提出申请，从事其他危险化学品经营的企业，应当向所在地县级人民政府安全生产监督管理部门提出申请（有储存设施的，应当向所在地设区的市级人民政府安全生产监督管理部门提出申请）。申请人应当提交其符合本条例第三十四条规定条件的证明材料。设区的市级人民政府安全生产监督管理部门或者县级人民政府安全生产监督管理部门应当依法进行审查，并对申请人的经营场所、储存设施进行现场核查，自收到证明材料之日起30日内作出批准或者不予批准的决定。予以批准的，颁发危险化学品经营许可证；不予批准的，书面通知申请人并说明理由。</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0" w:hRule="atLeast"/>
        </w:trPr>
        <w:tc>
          <w:tcPr>
            <w:tcW w:w="547"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p>
        </w:tc>
        <w:tc>
          <w:tcPr>
            <w:tcW w:w="1979" w:type="dxa"/>
            <w:vMerge w:val="continue"/>
            <w:tcBorders>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979" w:type="dxa"/>
            <w:vMerge w:val="continue"/>
            <w:tcBorders>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营业执照副本</w:t>
            </w:r>
          </w:p>
        </w:tc>
        <w:tc>
          <w:tcPr>
            <w:tcW w:w="5381" w:type="dxa"/>
            <w:vMerge w:val="continue"/>
            <w:tcBorders>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1"/>
                <w:szCs w:val="21"/>
              </w:rPr>
            </w:pP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0" w:hRule="atLeast"/>
        </w:trPr>
        <w:tc>
          <w:tcPr>
            <w:tcW w:w="547"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p>
        </w:tc>
        <w:tc>
          <w:tcPr>
            <w:tcW w:w="1979" w:type="dxa"/>
            <w:vMerge w:val="restart"/>
            <w:tcBorders>
              <w:top w:val="single" w:color="auto" w:sz="4" w:space="0"/>
              <w:left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因灾倒损农房恢复重建补助核定</w:t>
            </w:r>
          </w:p>
        </w:tc>
        <w:tc>
          <w:tcPr>
            <w:tcW w:w="1979" w:type="dxa"/>
            <w:vMerge w:val="restart"/>
            <w:tcBorders>
              <w:top w:val="single" w:color="000000" w:sz="2" w:space="0"/>
              <w:left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公共服务</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书面申请</w:t>
            </w:r>
          </w:p>
        </w:tc>
        <w:tc>
          <w:tcPr>
            <w:tcW w:w="5381" w:type="dxa"/>
            <w:vMerge w:val="restart"/>
            <w:tcBorders>
              <w:top w:val="single" w:color="000000" w:sz="2" w:space="0"/>
              <w:left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安徽省自然灾害救助办法》（安徽省人民政府第260号令）第二十四条：恢复重建居民住房的补助对象按照下列程序确定（一）受灾人员向所在的村民委员会或者居民委员会提出申请，或者由村民小组、居民小组向所在的村民委员会、居民委员会提名。（二）村民委员会、居民委员会组织对申请、提名进行民主评议，确定拟补助的对象。（三）村民委员会、居民委员会将拟补助的对象在其居住的自然村、社区公示，公示期不得少于10日。（四）经公示无异议，或者经村民委员会、居民委员会另行组织的民主评议确定异议不成立的，由村民委员会、居民委员会将拟补助的对象名单、申请或者提名的材料、民主评议意见和其他有关材料提交乡镇人民政府、街道办事处审核。乡镇人民政府、街道办事处应当在10日内完成审核工作。（五）乡镇人民政府、街道办事处将审核意见和村民委员会、居民委员会提交的材料一并报县级人民政府民政部门。县级人民政府民政部门应当在10日内完成核定工作。（六）县级人民政府民政部门确定补助对象和补助资金的数额、补助物资的品种和数量。</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0" w:hRule="atLeast"/>
        </w:trPr>
        <w:tc>
          <w:tcPr>
            <w:tcW w:w="547"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p>
        </w:tc>
        <w:tc>
          <w:tcPr>
            <w:tcW w:w="1979" w:type="dxa"/>
            <w:vMerge w:val="continue"/>
            <w:tcBorders>
              <w:left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979" w:type="dxa"/>
            <w:vMerge w:val="continue"/>
            <w:tcBorders>
              <w:left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村居评议公示材料</w:t>
            </w:r>
          </w:p>
        </w:tc>
        <w:tc>
          <w:tcPr>
            <w:tcW w:w="5381" w:type="dxa"/>
            <w:vMerge w:val="continue"/>
            <w:tcBorders>
              <w:left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1"/>
                <w:szCs w:val="21"/>
              </w:rPr>
            </w:pP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0" w:hRule="atLeast"/>
        </w:trPr>
        <w:tc>
          <w:tcPr>
            <w:tcW w:w="547"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p>
        </w:tc>
        <w:tc>
          <w:tcPr>
            <w:tcW w:w="1979" w:type="dxa"/>
            <w:vMerge w:val="continue"/>
            <w:tcBorders>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979" w:type="dxa"/>
            <w:vMerge w:val="continue"/>
            <w:tcBorders>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乡镇审核意见材料</w:t>
            </w:r>
          </w:p>
        </w:tc>
        <w:tc>
          <w:tcPr>
            <w:tcW w:w="5381" w:type="dxa"/>
            <w:vMerge w:val="continue"/>
            <w:tcBorders>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1"/>
                <w:szCs w:val="21"/>
              </w:rPr>
            </w:pP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7" w:hRule="atLeast"/>
        </w:trPr>
        <w:tc>
          <w:tcPr>
            <w:tcW w:w="547" w:type="dxa"/>
            <w:vMerge w:val="restart"/>
            <w:tcBorders>
              <w:top w:val="single" w:color="auto" w:sz="4" w:space="0"/>
              <w:left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sz w:val="28"/>
                <w:szCs w:val="28"/>
              </w:rPr>
            </w:pPr>
            <w:r>
              <w:rPr>
                <w:rFonts w:hint="eastAsia" w:ascii="黑体" w:hAnsi="黑体" w:eastAsia="黑体" w:cs="黑体"/>
                <w:sz w:val="28"/>
                <w:szCs w:val="28"/>
              </w:rPr>
              <w:t>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黑体" w:hAnsi="黑体" w:eastAsia="黑体" w:cs="黑体"/>
                <w:color w:val="auto"/>
                <w:kern w:val="0"/>
                <w:sz w:val="28"/>
                <w:szCs w:val="28"/>
                <w:lang w:val="en-US" w:eastAsia="zh-CN" w:bidi="ar"/>
              </w:rPr>
            </w:pPr>
            <w:r>
              <w:rPr>
                <w:rFonts w:hint="eastAsia" w:ascii="黑体" w:hAnsi="黑体" w:eastAsia="黑体" w:cs="黑体"/>
                <w:sz w:val="28"/>
                <w:szCs w:val="28"/>
              </w:rPr>
              <w:t>号</w:t>
            </w:r>
          </w:p>
        </w:tc>
        <w:tc>
          <w:tcPr>
            <w:tcW w:w="1979" w:type="dxa"/>
            <w:vMerge w:val="restart"/>
            <w:tcBorders>
              <w:top w:val="single" w:color="auto" w:sz="4" w:space="0"/>
              <w:left w:val="single" w:color="000000" w:sz="2" w:space="0"/>
              <w:right w:val="single" w:color="auto" w:sz="4"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黑体" w:hAnsi="黑体" w:eastAsia="黑体" w:cs="黑体"/>
                <w:color w:val="auto"/>
                <w:kern w:val="0"/>
                <w:sz w:val="28"/>
                <w:szCs w:val="28"/>
                <w:lang w:val="en-US" w:eastAsia="zh-CN" w:bidi="ar"/>
              </w:rPr>
            </w:pPr>
            <w:r>
              <w:rPr>
                <w:rFonts w:hint="eastAsia" w:ascii="黑体" w:hAnsi="黑体" w:eastAsia="黑体" w:cs="黑体"/>
                <w:sz w:val="28"/>
                <w:szCs w:val="28"/>
                <w:lang w:val="en-US" w:eastAsia="zh-CN"/>
              </w:rPr>
              <w:t>服务事项</w:t>
            </w:r>
          </w:p>
        </w:tc>
        <w:tc>
          <w:tcPr>
            <w:tcW w:w="1979" w:type="dxa"/>
            <w:vMerge w:val="restart"/>
            <w:tcBorders>
              <w:top w:val="single" w:color="000000" w:sz="2" w:space="0"/>
              <w:left w:val="single" w:color="auto" w:sz="4" w:space="0"/>
              <w:right w:val="single" w:color="auto" w:sz="4"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黑体" w:hAnsi="黑体" w:eastAsia="黑体" w:cs="黑体"/>
                <w:color w:val="auto"/>
                <w:kern w:val="0"/>
                <w:sz w:val="28"/>
                <w:szCs w:val="28"/>
                <w:lang w:val="en-US" w:eastAsia="zh-CN" w:bidi="ar"/>
              </w:rPr>
            </w:pPr>
            <w:r>
              <w:rPr>
                <w:rFonts w:hint="eastAsia" w:ascii="黑体" w:hAnsi="黑体" w:eastAsia="黑体" w:cs="黑体"/>
                <w:sz w:val="28"/>
                <w:szCs w:val="28"/>
                <w:lang w:val="en-US" w:eastAsia="zh-CN"/>
              </w:rPr>
              <w:t>事项类型</w:t>
            </w:r>
          </w:p>
        </w:tc>
        <w:tc>
          <w:tcPr>
            <w:tcW w:w="1981" w:type="dxa"/>
            <w:vMerge w:val="restart"/>
            <w:tcBorders>
              <w:top w:val="single" w:color="000000" w:sz="2" w:space="0"/>
              <w:left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黑体" w:hAnsi="黑体" w:eastAsia="黑体" w:cs="黑体"/>
                <w:color w:val="auto"/>
                <w:kern w:val="0"/>
                <w:sz w:val="28"/>
                <w:szCs w:val="28"/>
                <w:lang w:val="en-US" w:eastAsia="zh-CN" w:bidi="ar"/>
              </w:rPr>
            </w:pPr>
            <w:r>
              <w:rPr>
                <w:rFonts w:hint="eastAsia" w:ascii="黑体" w:hAnsi="黑体" w:eastAsia="黑体" w:cs="黑体"/>
                <w:sz w:val="28"/>
                <w:szCs w:val="28"/>
              </w:rPr>
              <w:t>证明</w:t>
            </w:r>
            <w:r>
              <w:rPr>
                <w:rFonts w:hint="eastAsia" w:ascii="黑体" w:hAnsi="黑体" w:eastAsia="黑体" w:cs="黑体"/>
                <w:sz w:val="28"/>
                <w:szCs w:val="28"/>
                <w:lang w:val="en-US" w:eastAsia="zh-CN"/>
              </w:rPr>
              <w:t>材料</w:t>
            </w:r>
          </w:p>
        </w:tc>
        <w:tc>
          <w:tcPr>
            <w:tcW w:w="5381" w:type="dxa"/>
            <w:vMerge w:val="restart"/>
            <w:tcBorders>
              <w:top w:val="single" w:color="000000" w:sz="2" w:space="0"/>
              <w:left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sz w:val="28"/>
                <w:szCs w:val="28"/>
              </w:rPr>
            </w:pPr>
            <w:r>
              <w:rPr>
                <w:rFonts w:hint="eastAsia" w:ascii="黑体" w:hAnsi="黑体" w:eastAsia="黑体" w:cs="黑体"/>
                <w:sz w:val="28"/>
                <w:szCs w:val="28"/>
              </w:rPr>
              <w:t>设定依据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黑体" w:hAnsi="黑体" w:eastAsia="黑体" w:cs="黑体"/>
                <w:color w:val="auto"/>
                <w:kern w:val="0"/>
                <w:sz w:val="28"/>
                <w:szCs w:val="28"/>
                <w:lang w:val="en-US" w:eastAsia="zh-CN" w:bidi="ar"/>
              </w:rPr>
            </w:pPr>
            <w:r>
              <w:rPr>
                <w:rFonts w:hint="eastAsia" w:ascii="黑体" w:hAnsi="黑体" w:eastAsia="黑体" w:cs="黑体"/>
                <w:sz w:val="28"/>
                <w:szCs w:val="28"/>
              </w:rPr>
              <w:t>（名称、文号</w:t>
            </w:r>
            <w:r>
              <w:rPr>
                <w:rFonts w:hint="eastAsia" w:ascii="黑体" w:hAnsi="黑体" w:eastAsia="黑体" w:cs="黑体"/>
                <w:sz w:val="28"/>
                <w:szCs w:val="28"/>
                <w:lang w:eastAsia="zh-CN"/>
              </w:rPr>
              <w:t>、条款</w:t>
            </w:r>
            <w:r>
              <w:rPr>
                <w:rFonts w:hint="eastAsia" w:ascii="黑体" w:hAnsi="黑体" w:eastAsia="黑体" w:cs="黑体"/>
                <w:sz w:val="28"/>
                <w:szCs w:val="28"/>
              </w:rPr>
              <w:t>）</w:t>
            </w:r>
          </w:p>
        </w:tc>
        <w:tc>
          <w:tcPr>
            <w:tcW w:w="2107" w:type="dxa"/>
            <w:gridSpan w:val="2"/>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黑体" w:hAnsi="黑体" w:eastAsia="黑体" w:cs="黑体"/>
                <w:sz w:val="28"/>
                <w:szCs w:val="28"/>
              </w:rPr>
              <w:t>清理意见</w:t>
            </w:r>
          </w:p>
        </w:tc>
        <w:tc>
          <w:tcPr>
            <w:tcW w:w="2159" w:type="dxa"/>
            <w:vMerge w:val="restart"/>
            <w:tcBorders>
              <w:top w:val="single" w:color="auto" w:sz="4" w:space="0"/>
              <w:left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黑体" w:hAnsi="黑体" w:eastAsia="黑体" w:cs="黑体"/>
                <w:sz w:val="28"/>
                <w:szCs w:val="28"/>
                <w:lang w:val="en-US" w:eastAsia="zh-CN"/>
              </w:rPr>
              <w:t>是否适用告知承诺制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1" w:hRule="atLeast"/>
        </w:trPr>
        <w:tc>
          <w:tcPr>
            <w:tcW w:w="547" w:type="dxa"/>
            <w:vMerge w:val="continue"/>
            <w:tcBorders>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p>
        </w:tc>
        <w:tc>
          <w:tcPr>
            <w:tcW w:w="1979" w:type="dxa"/>
            <w:vMerge w:val="continue"/>
            <w:tcBorders>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979" w:type="dxa"/>
            <w:vMerge w:val="continue"/>
            <w:tcBorders>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981" w:type="dxa"/>
            <w:vMerge w:val="continue"/>
            <w:tcBorders>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5381" w:type="dxa"/>
            <w:vMerge w:val="continue"/>
            <w:tcBorders>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1"/>
                <w:szCs w:val="21"/>
              </w:rPr>
            </w:pP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黑体" w:hAnsi="黑体" w:eastAsia="黑体" w:cs="黑体"/>
                <w:color w:val="auto"/>
                <w:kern w:val="0"/>
                <w:sz w:val="28"/>
                <w:szCs w:val="28"/>
                <w:lang w:val="en-US" w:eastAsia="zh-CN" w:bidi="ar"/>
              </w:rPr>
            </w:pPr>
            <w:r>
              <w:rPr>
                <w:rFonts w:hint="eastAsia" w:ascii="黑体" w:hAnsi="黑体" w:eastAsia="黑体" w:cs="黑体"/>
                <w:sz w:val="28"/>
                <w:szCs w:val="28"/>
                <w:lang w:val="en-US" w:eastAsia="zh-CN"/>
              </w:rPr>
              <w:t>取消</w:t>
            </w: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黑体" w:hAnsi="黑体" w:eastAsia="黑体" w:cs="黑体"/>
                <w:color w:val="auto"/>
                <w:kern w:val="0"/>
                <w:sz w:val="28"/>
                <w:szCs w:val="28"/>
                <w:lang w:val="en-US" w:eastAsia="zh-CN" w:bidi="ar"/>
              </w:rPr>
            </w:pPr>
            <w:r>
              <w:rPr>
                <w:rFonts w:hint="eastAsia" w:ascii="黑体" w:hAnsi="黑体" w:eastAsia="黑体" w:cs="黑体"/>
                <w:sz w:val="28"/>
                <w:szCs w:val="28"/>
              </w:rPr>
              <w:t>保留</w:t>
            </w:r>
          </w:p>
        </w:tc>
        <w:tc>
          <w:tcPr>
            <w:tcW w:w="2159" w:type="dxa"/>
            <w:vMerge w:val="continue"/>
            <w:tcBorders>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0" w:hRule="atLeast"/>
        </w:trPr>
        <w:tc>
          <w:tcPr>
            <w:tcW w:w="547"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p>
        </w:tc>
        <w:tc>
          <w:tcPr>
            <w:tcW w:w="1979" w:type="dxa"/>
            <w:vMerge w:val="restart"/>
            <w:tcBorders>
              <w:top w:val="single" w:color="auto" w:sz="4" w:space="0"/>
              <w:left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烟花爆竹经营许可证遗失、损毁补（换）发</w:t>
            </w:r>
          </w:p>
        </w:tc>
        <w:tc>
          <w:tcPr>
            <w:tcW w:w="1979" w:type="dxa"/>
            <w:vMerge w:val="restart"/>
            <w:tcBorders>
              <w:top w:val="single" w:color="000000" w:sz="2" w:space="0"/>
              <w:left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公共服务</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补办申请</w:t>
            </w:r>
          </w:p>
        </w:tc>
        <w:tc>
          <w:tcPr>
            <w:tcW w:w="5381" w:type="dxa"/>
            <w:vMerge w:val="restart"/>
            <w:tcBorders>
              <w:top w:val="single" w:color="000000" w:sz="2" w:space="0"/>
              <w:left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非药品类易制毒化学品生产、经营许可办法》（国家安全监管总局令第5号）第三条：国家对非药品类易制毒化学品的生产、经营实行许可制度。对第一类非药品类易制毒化学品的生产、经营实行许可证管理，对第二类、第三类易制毒化学品的生产、经营实行备案证明管理。</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省、自治区、直辖市人民政府安全生产监督管理部门负责本行政区域内第一类非药品类易制毒化学品生产、经营的审批和许可证的颁发工作。设区的市级人民政府安全生产监督管理部门负责本行政区域内第二类非药品类易制毒化学品生产、经营和第三类非药品类易制毒化学品生产的备案证明颁发工作。县级人民政府安全生产监督管理部门负责本行政区域内第三类非药品类易制毒化学品经营的备案证明颁发工作。</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0" w:hRule="atLeast"/>
        </w:trPr>
        <w:tc>
          <w:tcPr>
            <w:tcW w:w="547"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p>
        </w:tc>
        <w:tc>
          <w:tcPr>
            <w:tcW w:w="1979" w:type="dxa"/>
            <w:vMerge w:val="continue"/>
            <w:tcBorders>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979" w:type="dxa"/>
            <w:vMerge w:val="continue"/>
            <w:tcBorders>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工商营业执照副本</w:t>
            </w:r>
          </w:p>
        </w:tc>
        <w:tc>
          <w:tcPr>
            <w:tcW w:w="5381" w:type="dxa"/>
            <w:vMerge w:val="continue"/>
            <w:tcBorders>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1"/>
                <w:szCs w:val="21"/>
              </w:rPr>
            </w:pP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0" w:hRule="atLeast"/>
        </w:trPr>
        <w:tc>
          <w:tcPr>
            <w:tcW w:w="547"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p>
        </w:tc>
        <w:tc>
          <w:tcPr>
            <w:tcW w:w="1979" w:type="dxa"/>
            <w:vMerge w:val="restart"/>
            <w:tcBorders>
              <w:top w:val="single" w:color="auto" w:sz="4" w:space="0"/>
              <w:left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安全生产情况证明出具</w:t>
            </w:r>
          </w:p>
        </w:tc>
        <w:tc>
          <w:tcPr>
            <w:tcW w:w="1979" w:type="dxa"/>
            <w:vMerge w:val="restart"/>
            <w:tcBorders>
              <w:top w:val="single" w:color="000000" w:sz="2" w:space="0"/>
              <w:left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公共服务</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企业安全生产情况证明申请</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1"/>
                <w:szCs w:val="21"/>
              </w:rPr>
            </w:pP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0" w:hRule="atLeast"/>
        </w:trPr>
        <w:tc>
          <w:tcPr>
            <w:tcW w:w="547"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p>
        </w:tc>
        <w:tc>
          <w:tcPr>
            <w:tcW w:w="1979" w:type="dxa"/>
            <w:vMerge w:val="continue"/>
            <w:tcBorders>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979" w:type="dxa"/>
            <w:vMerge w:val="continue"/>
            <w:tcBorders>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企业营业执照副本</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1"/>
                <w:szCs w:val="21"/>
              </w:rPr>
            </w:pP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0" w:hRule="atLeast"/>
        </w:trPr>
        <w:tc>
          <w:tcPr>
            <w:tcW w:w="547"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p>
        </w:tc>
        <w:tc>
          <w:tcPr>
            <w:tcW w:w="1979" w:type="dxa"/>
            <w:tcBorders>
              <w:top w:val="single" w:color="auto" w:sz="4" w:space="0"/>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distribute"/>
              <w:textAlignment w:val="auto"/>
              <w:rPr>
                <w:rFonts w:hint="eastAsia" w:ascii="仿宋_GB2312" w:hAnsi="仿宋_GB2312" w:eastAsia="仿宋_GB2312" w:cs="仿宋_GB2312"/>
                <w:sz w:val="28"/>
                <w:szCs w:val="28"/>
              </w:rPr>
            </w:pPr>
            <w:r>
              <w:rPr>
                <w:rFonts w:hint="eastAsia" w:ascii="仿宋_GB2312" w:hAnsi="仿宋_GB2312" w:eastAsia="仿宋_GB2312" w:cs="仿宋_GB2312"/>
                <w:w w:val="80"/>
                <w:sz w:val="28"/>
                <w:szCs w:val="28"/>
              </w:rPr>
              <w:t>非药品类易制毒化学品备案证遗失、损毁补（换）发</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公共服务</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补办申请书</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1"/>
                <w:szCs w:val="21"/>
              </w:rPr>
            </w:pP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否</w:t>
            </w:r>
          </w:p>
        </w:tc>
      </w:tr>
    </w:tbl>
    <w:p/>
    <w:tbl>
      <w:tblPr>
        <w:tblStyle w:val="4"/>
        <w:tblW w:w="16133" w:type="dxa"/>
        <w:tblInd w:w="-1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47"/>
        <w:gridCol w:w="1979"/>
        <w:gridCol w:w="1979"/>
        <w:gridCol w:w="1981"/>
        <w:gridCol w:w="5381"/>
        <w:gridCol w:w="1053"/>
        <w:gridCol w:w="1054"/>
        <w:gridCol w:w="21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4" w:hRule="atLeast"/>
        </w:trPr>
        <w:tc>
          <w:tcPr>
            <w:tcW w:w="547" w:type="dxa"/>
            <w:vMerge w:val="restart"/>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sz w:val="28"/>
                <w:szCs w:val="28"/>
              </w:rPr>
            </w:pPr>
            <w:r>
              <w:rPr>
                <w:rFonts w:hint="eastAsia" w:ascii="黑体" w:hAnsi="黑体" w:eastAsia="黑体" w:cs="黑体"/>
                <w:sz w:val="28"/>
                <w:szCs w:val="28"/>
              </w:rPr>
              <w:t>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sz w:val="28"/>
                <w:szCs w:val="28"/>
              </w:rPr>
            </w:pPr>
            <w:r>
              <w:rPr>
                <w:rFonts w:hint="eastAsia" w:ascii="黑体" w:hAnsi="黑体" w:eastAsia="黑体" w:cs="黑体"/>
                <w:sz w:val="28"/>
                <w:szCs w:val="28"/>
              </w:rPr>
              <w:t>号</w:t>
            </w:r>
          </w:p>
        </w:tc>
        <w:tc>
          <w:tcPr>
            <w:tcW w:w="1979" w:type="dxa"/>
            <w:vMerge w:val="restart"/>
            <w:tcBorders>
              <w:top w:val="single" w:color="000000" w:sz="2" w:space="0"/>
              <w:left w:val="single" w:color="000000" w:sz="2" w:space="0"/>
              <w:right w:val="single" w:color="auto" w:sz="4"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服务事项</w:t>
            </w:r>
          </w:p>
        </w:tc>
        <w:tc>
          <w:tcPr>
            <w:tcW w:w="1979" w:type="dxa"/>
            <w:vMerge w:val="restart"/>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事项类型</w:t>
            </w:r>
          </w:p>
        </w:tc>
        <w:tc>
          <w:tcPr>
            <w:tcW w:w="1981" w:type="dxa"/>
            <w:vMerge w:val="restart"/>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黑体" w:hAnsi="黑体" w:eastAsia="黑体" w:cs="黑体"/>
                <w:sz w:val="28"/>
                <w:szCs w:val="28"/>
                <w:lang w:val="en-US" w:eastAsia="zh-CN"/>
              </w:rPr>
            </w:pPr>
            <w:r>
              <w:rPr>
                <w:rFonts w:hint="eastAsia" w:ascii="黑体" w:hAnsi="黑体" w:eastAsia="黑体" w:cs="黑体"/>
                <w:sz w:val="28"/>
                <w:szCs w:val="28"/>
              </w:rPr>
              <w:t>证明</w:t>
            </w:r>
            <w:r>
              <w:rPr>
                <w:rFonts w:hint="eastAsia" w:ascii="黑体" w:hAnsi="黑体" w:eastAsia="黑体" w:cs="黑体"/>
                <w:sz w:val="28"/>
                <w:szCs w:val="28"/>
                <w:lang w:val="en-US" w:eastAsia="zh-CN"/>
              </w:rPr>
              <w:t>材料</w:t>
            </w:r>
          </w:p>
        </w:tc>
        <w:tc>
          <w:tcPr>
            <w:tcW w:w="5381" w:type="dxa"/>
            <w:vMerge w:val="restart"/>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sz w:val="28"/>
                <w:szCs w:val="28"/>
              </w:rPr>
            </w:pPr>
            <w:r>
              <w:rPr>
                <w:rFonts w:hint="eastAsia" w:ascii="黑体" w:hAnsi="黑体" w:eastAsia="黑体" w:cs="黑体"/>
                <w:sz w:val="28"/>
                <w:szCs w:val="28"/>
              </w:rPr>
              <w:t>设定依据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sz w:val="28"/>
                <w:szCs w:val="28"/>
              </w:rPr>
            </w:pPr>
            <w:r>
              <w:rPr>
                <w:rFonts w:hint="eastAsia" w:ascii="黑体" w:hAnsi="黑体" w:eastAsia="黑体" w:cs="黑体"/>
                <w:sz w:val="28"/>
                <w:szCs w:val="28"/>
              </w:rPr>
              <w:t>（名称、文号</w:t>
            </w:r>
            <w:r>
              <w:rPr>
                <w:rFonts w:hint="eastAsia" w:ascii="黑体" w:hAnsi="黑体" w:eastAsia="黑体" w:cs="黑体"/>
                <w:sz w:val="28"/>
                <w:szCs w:val="28"/>
                <w:lang w:eastAsia="zh-CN"/>
              </w:rPr>
              <w:t>、条款</w:t>
            </w:r>
            <w:r>
              <w:rPr>
                <w:rFonts w:hint="eastAsia" w:ascii="黑体" w:hAnsi="黑体" w:eastAsia="黑体" w:cs="黑体"/>
                <w:sz w:val="28"/>
                <w:szCs w:val="28"/>
              </w:rPr>
              <w:t>）</w:t>
            </w:r>
          </w:p>
        </w:tc>
        <w:tc>
          <w:tcPr>
            <w:tcW w:w="2107" w:type="dxa"/>
            <w:gridSpan w:val="2"/>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sz w:val="28"/>
                <w:szCs w:val="28"/>
              </w:rPr>
            </w:pPr>
            <w:r>
              <w:rPr>
                <w:rFonts w:hint="eastAsia" w:ascii="黑体" w:hAnsi="黑体" w:eastAsia="黑体" w:cs="黑体"/>
                <w:sz w:val="28"/>
                <w:szCs w:val="28"/>
              </w:rPr>
              <w:t>清理意见</w:t>
            </w:r>
          </w:p>
        </w:tc>
        <w:tc>
          <w:tcPr>
            <w:tcW w:w="2159" w:type="dxa"/>
            <w:vMerge w:val="restart"/>
            <w:tcBorders>
              <w:top w:val="single" w:color="000000" w:sz="2" w:space="0"/>
              <w:left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是否适用告知承诺制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trPr>
        <w:tc>
          <w:tcPr>
            <w:tcW w:w="547" w:type="dxa"/>
            <w:vMerge w:val="continue"/>
            <w:tcBorders>
              <w:top w:val="single" w:color="000000" w:sz="2"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黑体" w:hAnsi="黑体" w:eastAsia="黑体" w:cs="黑体"/>
                <w:sz w:val="28"/>
                <w:szCs w:val="28"/>
              </w:rPr>
            </w:pPr>
          </w:p>
        </w:tc>
        <w:tc>
          <w:tcPr>
            <w:tcW w:w="1979" w:type="dxa"/>
            <w:vMerge w:val="continue"/>
            <w:tcBorders>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黑体" w:hAnsi="黑体" w:eastAsia="黑体" w:cs="黑体"/>
                <w:sz w:val="28"/>
                <w:szCs w:val="28"/>
              </w:rPr>
            </w:pPr>
          </w:p>
        </w:tc>
        <w:tc>
          <w:tcPr>
            <w:tcW w:w="1979" w:type="dxa"/>
            <w:vMerge w:val="continue"/>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黑体" w:hAnsi="黑体" w:eastAsia="黑体" w:cs="黑体"/>
                <w:sz w:val="28"/>
                <w:szCs w:val="28"/>
              </w:rPr>
            </w:pPr>
          </w:p>
        </w:tc>
        <w:tc>
          <w:tcPr>
            <w:tcW w:w="1981" w:type="dxa"/>
            <w:vMerge w:val="continue"/>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黑体" w:hAnsi="黑体" w:eastAsia="黑体" w:cs="黑体"/>
                <w:sz w:val="28"/>
                <w:szCs w:val="28"/>
              </w:rPr>
            </w:pPr>
          </w:p>
        </w:tc>
        <w:tc>
          <w:tcPr>
            <w:tcW w:w="5381" w:type="dxa"/>
            <w:vMerge w:val="continue"/>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黑体" w:hAnsi="黑体" w:eastAsia="黑体" w:cs="黑体"/>
                <w:sz w:val="28"/>
                <w:szCs w:val="28"/>
              </w:rPr>
            </w:pP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sz w:val="28"/>
                <w:szCs w:val="28"/>
                <w:lang w:eastAsia="zh-CN"/>
              </w:rPr>
            </w:pPr>
            <w:r>
              <w:rPr>
                <w:rFonts w:hint="eastAsia" w:ascii="黑体" w:hAnsi="黑体" w:eastAsia="黑体" w:cs="黑体"/>
                <w:sz w:val="28"/>
                <w:szCs w:val="28"/>
                <w:lang w:val="en-US" w:eastAsia="zh-CN"/>
              </w:rPr>
              <w:t>取消</w:t>
            </w:r>
          </w:p>
        </w:tc>
        <w:tc>
          <w:tcPr>
            <w:tcW w:w="1054" w:type="dxa"/>
            <w:tcBorders>
              <w:top w:val="single" w:color="000000" w:sz="2"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sz w:val="28"/>
                <w:szCs w:val="28"/>
              </w:rPr>
            </w:pPr>
            <w:r>
              <w:rPr>
                <w:rFonts w:hint="eastAsia" w:ascii="黑体" w:hAnsi="黑体" w:eastAsia="黑体" w:cs="黑体"/>
                <w:sz w:val="28"/>
                <w:szCs w:val="28"/>
              </w:rPr>
              <w:t>保留</w:t>
            </w:r>
          </w:p>
        </w:tc>
        <w:tc>
          <w:tcPr>
            <w:tcW w:w="2159" w:type="dxa"/>
            <w:vMerge w:val="continue"/>
            <w:tcBorders>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trPr>
        <w:tc>
          <w:tcPr>
            <w:tcW w:w="16133" w:type="dxa"/>
            <w:gridSpan w:val="8"/>
            <w:tcBorders>
              <w:top w:val="single" w:color="000000" w:sz="2"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黑体" w:hAnsi="黑体" w:eastAsia="黑体" w:cs="黑体"/>
                <w:sz w:val="28"/>
                <w:szCs w:val="28"/>
                <w:lang w:val="en-US"/>
              </w:rPr>
            </w:pPr>
            <w:r>
              <w:rPr>
                <w:rFonts w:hint="eastAsia" w:ascii="黑体" w:hAnsi="黑体" w:eastAsia="黑体" w:cs="黑体"/>
                <w:sz w:val="28"/>
                <w:szCs w:val="28"/>
                <w:lang w:val="en-US" w:eastAsia="zh-CN"/>
              </w:rPr>
              <w:t>潘集区税务局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67"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tcBorders>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cs="仿宋" w:eastAsiaTheme="minorEastAsia"/>
                <w:color w:val="auto"/>
                <w:kern w:val="2"/>
                <w:sz w:val="28"/>
                <w:szCs w:val="28"/>
                <w:lang w:val="en-US" w:eastAsia="zh-CN" w:bidi="ar-SA"/>
              </w:rPr>
            </w:pPr>
            <w:r>
              <w:rPr>
                <w:rFonts w:hint="eastAsia" w:ascii="仿宋" w:hAnsi="仿宋" w:cs="仿宋" w:eastAsiaTheme="minorEastAsia"/>
                <w:sz w:val="28"/>
                <w:szCs w:val="28"/>
                <w:lang w:eastAsia="zh-CN"/>
              </w:rPr>
              <w:t>对采取实际利润额预缴以外的其他企业所得税预缴方式的核定</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280" w:firstLineChars="1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val="en-US" w:eastAsia="zh-CN"/>
              </w:rPr>
              <w:t>行政许可</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sz w:val="21"/>
                <w:szCs w:val="21"/>
                <w:lang w:eastAsia="zh-CN"/>
              </w:rPr>
              <w:t>《税务行政许可申请表》，纳税人确有困难不能按照月度或者季度的实际利润额预缴企业所得税的情况证明</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w w:val="80"/>
                <w:kern w:val="2"/>
                <w:sz w:val="21"/>
                <w:szCs w:val="21"/>
                <w:lang w:val="en-US" w:eastAsia="zh-CN" w:bidi="ar-SA"/>
              </w:rPr>
            </w:pPr>
            <w:r>
              <w:rPr>
                <w:rFonts w:hint="eastAsia" w:ascii="仿宋" w:hAnsi="仿宋" w:eastAsia="仿宋" w:cs="仿宋"/>
                <w:b w:val="0"/>
                <w:bCs w:val="0"/>
                <w:w w:val="80"/>
                <w:sz w:val="21"/>
                <w:szCs w:val="21"/>
                <w:lang w:eastAsia="zh-CN"/>
              </w:rPr>
              <w:t>1.《中华人民共和国企业所得税法实施条例》第一百二十八条：企业所得税分月或者分季预缴，由税务机关具体核定。企业根据企业所得税法第五十四条规定分月或者分季预缴企业所得税时，应当按照月度或者季度的实际利润额预缴；按照月度或者季度的实际利润额预缴有困难的，可以按照上一纳税年度应纳税所得额的月度或者季度平均额预缴，或者按照经税务机关认可的其他方法预缴。预缴方法一经确定，该纳税年度内不得随意变更。</w:t>
            </w:r>
            <w:r>
              <w:rPr>
                <w:rFonts w:hint="eastAsia" w:ascii="仿宋" w:hAnsi="仿宋" w:eastAsia="仿宋" w:cs="仿宋"/>
                <w:b w:val="0"/>
                <w:bCs w:val="0"/>
                <w:w w:val="80"/>
                <w:sz w:val="21"/>
                <w:szCs w:val="21"/>
                <w:lang w:eastAsia="zh-CN"/>
              </w:rPr>
              <w:br w:type="textWrapping"/>
            </w:r>
            <w:r>
              <w:rPr>
                <w:rFonts w:hint="eastAsia" w:ascii="仿宋" w:hAnsi="仿宋" w:eastAsia="仿宋" w:cs="仿宋"/>
                <w:b w:val="0"/>
                <w:bCs w:val="0"/>
                <w:w w:val="80"/>
                <w:sz w:val="21"/>
                <w:szCs w:val="21"/>
                <w:lang w:eastAsia="zh-CN"/>
              </w:rPr>
              <w:t>2.《国家税务总局关于税务行政许可若干问题的公告》（国家税务总局公告2016年第11号）和《国家税务总局关于简化税务行政许可事项办理程序的公告》（国家税务总局公告2017年第21号）规定。</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000000" w:sz="2"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保留</w:t>
            </w:r>
          </w:p>
        </w:tc>
        <w:tc>
          <w:tcPr>
            <w:tcW w:w="2159" w:type="dxa"/>
            <w:tcBorders>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26"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tcBorders>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cs="仿宋" w:eastAsiaTheme="minorEastAsia"/>
                <w:color w:val="auto"/>
                <w:kern w:val="2"/>
                <w:sz w:val="28"/>
                <w:szCs w:val="28"/>
                <w:lang w:val="en-US" w:eastAsia="zh-CN" w:bidi="ar-SA"/>
              </w:rPr>
            </w:pPr>
            <w:r>
              <w:rPr>
                <w:rFonts w:hint="eastAsia" w:ascii="仿宋" w:hAnsi="仿宋" w:cs="仿宋" w:eastAsiaTheme="minorEastAsia"/>
                <w:sz w:val="28"/>
                <w:szCs w:val="28"/>
                <w:lang w:eastAsia="zh-CN"/>
              </w:rPr>
              <w:t>增值税专用发票（增值税税控系统）最高开票限额审批</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280" w:firstLineChars="1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val="en-US" w:eastAsia="zh-CN"/>
              </w:rPr>
              <w:t>行政许可</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sz w:val="21"/>
                <w:szCs w:val="21"/>
                <w:lang w:eastAsia="zh-CN"/>
              </w:rPr>
              <w:t>税务行政许可申请表，《增值税专用发票最高开票限额申请单》</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w w:val="80"/>
                <w:kern w:val="2"/>
                <w:sz w:val="21"/>
                <w:szCs w:val="21"/>
                <w:lang w:val="en-US" w:eastAsia="zh-CN" w:bidi="ar-SA"/>
              </w:rPr>
            </w:pPr>
            <w:r>
              <w:rPr>
                <w:rFonts w:hint="eastAsia" w:ascii="仿宋" w:hAnsi="仿宋" w:eastAsia="仿宋" w:cs="仿宋"/>
                <w:b w:val="0"/>
                <w:bCs w:val="0"/>
                <w:w w:val="80"/>
                <w:sz w:val="21"/>
                <w:szCs w:val="21"/>
                <w:lang w:eastAsia="zh-CN"/>
              </w:rPr>
              <w:t>《增值税专用发票使用规定》（国税发[2006]156号）第五条“专用发票实行最高开票限额管理。最高开票限额，是指单份专用发票开具的销售额合计数不得达到的上限额度。最高开票限额由一般纳税人申请，税务机关依法审批。最高开票限额为十万元及以下的，由区县级税务机关审批；最高开票限额为一百万元的，由地市级税务机关审批；最高开票限额为一千万元及以上的，由省级税务机关审批。防伪税控系统的具体发行工作由区县级税务机关负责。 税务机关审批最高开票限额应进行实地核查。批准使用最高开票限额为十万元及以下的，由区县级税务机关派人实地核查；批准使用最高开票限额为一百万元的，由地市级税务机关派人实地核查；批准使用最高开票限额为一千万元及以上的，由地市级税务机关派人实地核查后将核查资料报省级税务机关审核。</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000000" w:sz="2"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保留</w:t>
            </w:r>
          </w:p>
        </w:tc>
        <w:tc>
          <w:tcPr>
            <w:tcW w:w="2159" w:type="dxa"/>
            <w:tcBorders>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tcBorders>
              <w:top w:val="single" w:color="auto" w:sz="4" w:space="0"/>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cs="仿宋" w:eastAsiaTheme="minorEastAsia"/>
                <w:color w:val="auto"/>
                <w:kern w:val="2"/>
                <w:sz w:val="28"/>
                <w:szCs w:val="28"/>
                <w:lang w:val="en-US" w:eastAsia="zh-CN" w:bidi="ar-SA"/>
              </w:rPr>
            </w:pPr>
            <w:r>
              <w:rPr>
                <w:rFonts w:hint="eastAsia" w:ascii="仿宋" w:hAnsi="仿宋" w:cs="仿宋" w:eastAsiaTheme="minorEastAsia"/>
                <w:sz w:val="28"/>
                <w:szCs w:val="28"/>
                <w:lang w:eastAsia="zh-CN"/>
              </w:rPr>
              <w:t>对纳税人延期申报的核准</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280" w:firstLineChars="1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val="en-US" w:eastAsia="zh-CN"/>
              </w:rPr>
              <w:t>行政许可</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sz w:val="21"/>
                <w:szCs w:val="21"/>
                <w:lang w:eastAsia="zh-CN"/>
              </w:rPr>
              <w:t>《税务行政许可申请表》</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w w:val="80"/>
                <w:kern w:val="2"/>
                <w:sz w:val="21"/>
                <w:szCs w:val="21"/>
                <w:lang w:val="en-US" w:eastAsia="zh-CN" w:bidi="ar-SA"/>
              </w:rPr>
            </w:pPr>
            <w:r>
              <w:rPr>
                <w:rFonts w:hint="eastAsia" w:ascii="仿宋" w:hAnsi="仿宋" w:eastAsia="仿宋" w:cs="仿宋"/>
                <w:b w:val="0"/>
                <w:bCs w:val="0"/>
                <w:w w:val="80"/>
                <w:sz w:val="21"/>
                <w:szCs w:val="21"/>
                <w:lang w:eastAsia="zh-CN"/>
              </w:rPr>
              <w:t>1.《中华人民共和国税收征收管理法》第二十七条第一款： 纳税人、扣缴义务人不能按期办理纳税申报或者报送代扣代缴、代收代缴税款报告表的，经税务机关核准，可以延期申报。</w:t>
            </w:r>
            <w:r>
              <w:rPr>
                <w:rFonts w:hint="eastAsia" w:ascii="仿宋" w:hAnsi="仿宋" w:eastAsia="仿宋" w:cs="仿宋"/>
                <w:b w:val="0"/>
                <w:bCs w:val="0"/>
                <w:w w:val="80"/>
                <w:sz w:val="21"/>
                <w:szCs w:val="21"/>
                <w:lang w:eastAsia="zh-CN"/>
              </w:rPr>
              <w:br w:type="textWrapping"/>
            </w:r>
            <w:r>
              <w:rPr>
                <w:rFonts w:hint="eastAsia" w:ascii="仿宋" w:hAnsi="仿宋" w:eastAsia="仿宋" w:cs="仿宋"/>
                <w:b w:val="0"/>
                <w:bCs w:val="0"/>
                <w:w w:val="80"/>
                <w:sz w:val="21"/>
                <w:szCs w:val="21"/>
                <w:lang w:eastAsia="zh-CN"/>
              </w:rPr>
              <w:t>2.《中华人民共和国税收征收管理法实施细则》第三十七条: 纳税人、扣缴义务人按照规定的期限办理纳税申报或者报送代扣代缴、代收代缴税款报告表确有困难，需要延期的，应当在规定的期限内向税务机关提出书面延期申请，经税务机关核准，在核准的期限内办理。纳税人、扣缴义务人因不可抗力，不能按期办理纳税申报或者报送代扣代缴、代收代缴税款报告表的，可以延期办理；但是，应当在不可抗力情形消除后立即向税务机关报告。税务机关应当查明事实，予以核准。</w:t>
            </w:r>
            <w:r>
              <w:rPr>
                <w:rFonts w:hint="eastAsia" w:ascii="仿宋" w:hAnsi="仿宋" w:eastAsia="仿宋" w:cs="仿宋"/>
                <w:b w:val="0"/>
                <w:bCs w:val="0"/>
                <w:w w:val="80"/>
                <w:sz w:val="21"/>
                <w:szCs w:val="21"/>
                <w:lang w:eastAsia="zh-CN"/>
              </w:rPr>
              <w:br w:type="textWrapping"/>
            </w:r>
            <w:r>
              <w:rPr>
                <w:rFonts w:hint="eastAsia" w:ascii="仿宋" w:hAnsi="仿宋" w:eastAsia="仿宋" w:cs="仿宋"/>
                <w:b w:val="0"/>
                <w:bCs w:val="0"/>
                <w:w w:val="80"/>
                <w:sz w:val="21"/>
                <w:szCs w:val="21"/>
                <w:lang w:eastAsia="zh-CN"/>
              </w:rPr>
              <w:t>3. 《国家税务总局关于税务行政许可若干问题的公告》（国家税务总局公告2016年第11号）和《国家税务总局关于简化税务行政许可事项办理程序的公告》（国家税务总局公告2017年第21号）规定</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000000" w:sz="2"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tcBorders>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cs="仿宋" w:eastAsiaTheme="minorEastAsia"/>
                <w:color w:val="auto"/>
                <w:kern w:val="2"/>
                <w:sz w:val="28"/>
                <w:szCs w:val="28"/>
                <w:lang w:val="en-US" w:eastAsia="zh-CN" w:bidi="ar-SA"/>
              </w:rPr>
            </w:pPr>
            <w:r>
              <w:rPr>
                <w:rFonts w:hint="eastAsia" w:ascii="仿宋" w:hAnsi="仿宋" w:cs="仿宋" w:eastAsiaTheme="minorEastAsia"/>
                <w:sz w:val="28"/>
                <w:szCs w:val="28"/>
                <w:lang w:eastAsia="zh-CN"/>
              </w:rPr>
              <w:t>对纳税人变更纳税定额的核准</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280" w:firstLineChars="1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val="en-US" w:eastAsia="zh-CN"/>
              </w:rPr>
              <w:t>行政许可</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sz w:val="21"/>
                <w:szCs w:val="21"/>
                <w:lang w:eastAsia="zh-CN"/>
              </w:rPr>
              <w:t>税务行政许可申请表，申请变更纳税定额的证明材料</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w w:val="80"/>
                <w:kern w:val="2"/>
                <w:sz w:val="21"/>
                <w:szCs w:val="21"/>
                <w:lang w:val="en-US" w:eastAsia="zh-CN" w:bidi="ar-SA"/>
              </w:rPr>
            </w:pPr>
            <w:r>
              <w:rPr>
                <w:rFonts w:hint="eastAsia" w:ascii="仿宋" w:hAnsi="仿宋" w:eastAsia="仿宋" w:cs="仿宋"/>
                <w:b w:val="0"/>
                <w:bCs w:val="0"/>
                <w:w w:val="80"/>
                <w:sz w:val="21"/>
                <w:szCs w:val="21"/>
                <w:lang w:eastAsia="zh-CN"/>
              </w:rPr>
              <w:t>1《中华人民共和国税收征收管理法实施细则》第47条规定，纳税人对税务机关采取本条规定的方法核定的应纳税额有异议的，应当提供相关证据，经税务机关认定后，调整应纳税额。2.《国家税务总局关于税务行政许可若干问题的公告》（国家税务总局公告2016年第11号）和《国家税务总局关于简化税务行政许可事项办理程序的公告》（国家税务总局公告2017年第21号）规定。</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000000" w:sz="2"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保留</w:t>
            </w:r>
          </w:p>
        </w:tc>
        <w:tc>
          <w:tcPr>
            <w:tcW w:w="2159" w:type="dxa"/>
            <w:tcBorders>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80"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tcBorders>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cs="仿宋" w:eastAsiaTheme="minorEastAsia"/>
                <w:color w:val="auto"/>
                <w:kern w:val="2"/>
                <w:sz w:val="28"/>
                <w:szCs w:val="28"/>
                <w:lang w:val="en-US" w:eastAsia="zh-CN" w:bidi="ar-SA"/>
              </w:rPr>
            </w:pPr>
            <w:r>
              <w:rPr>
                <w:rFonts w:hint="eastAsia" w:ascii="仿宋" w:hAnsi="仿宋" w:cs="仿宋" w:eastAsiaTheme="minorEastAsia"/>
                <w:sz w:val="28"/>
                <w:szCs w:val="28"/>
                <w:lang w:eastAsia="zh-CN"/>
              </w:rPr>
              <w:t>居民其他分类所得个人所得税自行申报</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280" w:firstLineChars="1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val="en-US" w:eastAsia="zh-CN"/>
              </w:rPr>
              <w:t>行政征收</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sz w:val="21"/>
                <w:szCs w:val="21"/>
                <w:lang w:eastAsia="zh-CN"/>
              </w:rPr>
              <w:t>个人身份证件，《个人所得税自行纳税申报表（A 表）》</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w w:val="80"/>
                <w:kern w:val="2"/>
                <w:sz w:val="21"/>
                <w:szCs w:val="21"/>
                <w:lang w:val="en-US" w:eastAsia="zh-CN" w:bidi="ar-SA"/>
              </w:rPr>
            </w:pPr>
            <w:r>
              <w:rPr>
                <w:rFonts w:hint="eastAsia" w:ascii="仿宋" w:hAnsi="仿宋" w:eastAsia="仿宋" w:cs="仿宋"/>
                <w:b w:val="0"/>
                <w:bCs w:val="0"/>
                <w:w w:val="80"/>
                <w:sz w:val="21"/>
                <w:szCs w:val="21"/>
                <w:lang w:eastAsia="zh-CN"/>
              </w:rPr>
              <w:t>《中华人民共和国税收征收管理法》（中华人民共和国主席令第49号）第二十五条第一款</w:t>
            </w:r>
            <w:r>
              <w:rPr>
                <w:rFonts w:hint="eastAsia" w:ascii="仿宋" w:hAnsi="仿宋" w:eastAsia="仿宋" w:cs="仿宋"/>
                <w:b w:val="0"/>
                <w:bCs w:val="0"/>
                <w:w w:val="80"/>
                <w:sz w:val="21"/>
                <w:szCs w:val="21"/>
                <w:lang w:eastAsia="zh-CN"/>
              </w:rPr>
              <w:br w:type="textWrapping"/>
            </w:r>
            <w:r>
              <w:rPr>
                <w:rFonts w:hint="eastAsia" w:ascii="仿宋" w:hAnsi="仿宋" w:eastAsia="仿宋" w:cs="仿宋"/>
                <w:b w:val="0"/>
                <w:bCs w:val="0"/>
                <w:w w:val="80"/>
                <w:sz w:val="21"/>
                <w:szCs w:val="21"/>
                <w:lang w:eastAsia="zh-CN"/>
              </w:rPr>
              <w:t>《中华人民共和国税收征收管理法实施细则》（国务院令第362号）</w:t>
            </w:r>
            <w:r>
              <w:rPr>
                <w:rFonts w:hint="eastAsia" w:ascii="仿宋" w:hAnsi="仿宋" w:eastAsia="仿宋" w:cs="仿宋"/>
                <w:b w:val="0"/>
                <w:bCs w:val="0"/>
                <w:w w:val="80"/>
                <w:sz w:val="21"/>
                <w:szCs w:val="21"/>
                <w:lang w:eastAsia="zh-CN"/>
              </w:rPr>
              <w:br w:type="textWrapping"/>
            </w:r>
            <w:r>
              <w:rPr>
                <w:rFonts w:hint="eastAsia" w:ascii="仿宋" w:hAnsi="仿宋" w:eastAsia="仿宋" w:cs="仿宋"/>
                <w:b w:val="0"/>
                <w:bCs w:val="0"/>
                <w:w w:val="80"/>
                <w:sz w:val="21"/>
                <w:szCs w:val="21"/>
                <w:lang w:eastAsia="zh-CN"/>
              </w:rPr>
              <w:t>《中华人民共和国个人所得税法》(中华人民共和国主席令第九号) 第二条</w:t>
            </w:r>
            <w:r>
              <w:rPr>
                <w:rFonts w:hint="eastAsia" w:ascii="仿宋" w:hAnsi="仿宋" w:eastAsia="仿宋" w:cs="仿宋"/>
                <w:b w:val="0"/>
                <w:bCs w:val="0"/>
                <w:w w:val="80"/>
                <w:sz w:val="21"/>
                <w:szCs w:val="21"/>
                <w:lang w:eastAsia="zh-CN"/>
              </w:rPr>
              <w:br w:type="textWrapping"/>
            </w:r>
            <w:r>
              <w:rPr>
                <w:rFonts w:hint="eastAsia" w:ascii="仿宋" w:hAnsi="仿宋" w:eastAsia="仿宋" w:cs="仿宋"/>
                <w:b w:val="0"/>
                <w:bCs w:val="0"/>
                <w:w w:val="80"/>
                <w:sz w:val="21"/>
                <w:szCs w:val="21"/>
                <w:lang w:eastAsia="zh-CN"/>
              </w:rPr>
              <w:t>《中华人民共和国个人所得税法实施条例》(中华人民共和国国务院令第707号)</w:t>
            </w:r>
            <w:r>
              <w:rPr>
                <w:rFonts w:hint="eastAsia" w:ascii="仿宋" w:hAnsi="仿宋" w:eastAsia="仿宋" w:cs="仿宋"/>
                <w:b w:val="0"/>
                <w:bCs w:val="0"/>
                <w:w w:val="80"/>
                <w:sz w:val="21"/>
                <w:szCs w:val="21"/>
                <w:lang w:eastAsia="zh-CN"/>
              </w:rPr>
              <w:br w:type="textWrapping"/>
            </w:r>
            <w:r>
              <w:rPr>
                <w:rFonts w:hint="eastAsia" w:ascii="仿宋" w:hAnsi="仿宋" w:eastAsia="仿宋" w:cs="仿宋"/>
                <w:b w:val="0"/>
                <w:bCs w:val="0"/>
                <w:w w:val="80"/>
                <w:sz w:val="21"/>
                <w:szCs w:val="21"/>
                <w:lang w:eastAsia="zh-CN"/>
              </w:rPr>
              <w:t>《国家税务总局关于发布〈个人所得税扣缴申报管理办法（试行）〉的公告》（国家税务总局公告2018年第61号）</w:t>
            </w:r>
            <w:r>
              <w:rPr>
                <w:rFonts w:hint="eastAsia" w:ascii="仿宋" w:hAnsi="仿宋" w:eastAsia="仿宋" w:cs="仿宋"/>
                <w:b w:val="0"/>
                <w:bCs w:val="0"/>
                <w:w w:val="80"/>
                <w:sz w:val="21"/>
                <w:szCs w:val="21"/>
                <w:lang w:eastAsia="zh-CN"/>
              </w:rPr>
              <w:br w:type="textWrapping"/>
            </w:r>
            <w:r>
              <w:rPr>
                <w:rFonts w:hint="eastAsia" w:ascii="仿宋" w:hAnsi="仿宋" w:eastAsia="仿宋" w:cs="仿宋"/>
                <w:b w:val="0"/>
                <w:bCs w:val="0"/>
                <w:w w:val="80"/>
                <w:sz w:val="21"/>
                <w:szCs w:val="21"/>
                <w:lang w:eastAsia="zh-CN"/>
              </w:rPr>
              <w:t>《国家税务总局关于个人所得税自行纳税申报有关问题的公告》(国家税务总局公告2018年第62号)</w:t>
            </w:r>
            <w:r>
              <w:rPr>
                <w:rFonts w:hint="eastAsia" w:ascii="仿宋" w:hAnsi="仿宋" w:eastAsia="仿宋" w:cs="仿宋"/>
                <w:b w:val="0"/>
                <w:bCs w:val="0"/>
                <w:w w:val="80"/>
                <w:sz w:val="21"/>
                <w:szCs w:val="21"/>
                <w:lang w:eastAsia="zh-CN"/>
              </w:rPr>
              <w:br w:type="textWrapping"/>
            </w:r>
            <w:r>
              <w:rPr>
                <w:rFonts w:hint="eastAsia" w:ascii="仿宋" w:hAnsi="仿宋" w:eastAsia="仿宋" w:cs="仿宋"/>
                <w:b w:val="0"/>
                <w:bCs w:val="0"/>
                <w:w w:val="80"/>
                <w:sz w:val="21"/>
                <w:szCs w:val="21"/>
                <w:lang w:eastAsia="zh-CN"/>
              </w:rPr>
              <w:t>《财政部 税务总局关于继续有效的个人所得税优惠政策目录的公告》（财政部 税务总局公告2018年第177号）</w:t>
            </w:r>
            <w:r>
              <w:rPr>
                <w:rFonts w:hint="eastAsia" w:ascii="仿宋" w:hAnsi="仿宋" w:eastAsia="仿宋" w:cs="仿宋"/>
                <w:b w:val="0"/>
                <w:bCs w:val="0"/>
                <w:w w:val="80"/>
                <w:sz w:val="21"/>
                <w:szCs w:val="21"/>
                <w:lang w:eastAsia="zh-CN"/>
              </w:rPr>
              <w:br w:type="textWrapping"/>
            </w:r>
            <w:r>
              <w:rPr>
                <w:rFonts w:hint="eastAsia" w:ascii="仿宋" w:hAnsi="仿宋" w:eastAsia="仿宋" w:cs="仿宋"/>
                <w:b w:val="0"/>
                <w:bCs w:val="0"/>
                <w:w w:val="80"/>
                <w:sz w:val="21"/>
                <w:szCs w:val="21"/>
                <w:lang w:eastAsia="zh-CN"/>
              </w:rPr>
              <w:t>《国家税务总局关于修订个人所得税申报表的公告》（国家税务总局公告2019年第7号）</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000000" w:sz="2"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保留</w:t>
            </w:r>
          </w:p>
        </w:tc>
        <w:tc>
          <w:tcPr>
            <w:tcW w:w="2159" w:type="dxa"/>
            <w:tcBorders>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tcBorders>
              <w:top w:val="single" w:color="auto" w:sz="4" w:space="0"/>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cs="仿宋" w:eastAsiaTheme="minorEastAsia"/>
                <w:color w:val="auto"/>
                <w:kern w:val="2"/>
                <w:sz w:val="28"/>
                <w:szCs w:val="28"/>
                <w:lang w:val="en-US" w:eastAsia="zh-CN" w:bidi="ar-SA"/>
              </w:rPr>
            </w:pPr>
            <w:r>
              <w:rPr>
                <w:rFonts w:hint="eastAsia" w:ascii="仿宋" w:hAnsi="仿宋" w:cs="仿宋" w:eastAsiaTheme="minorEastAsia"/>
                <w:sz w:val="28"/>
                <w:szCs w:val="28"/>
                <w:lang w:eastAsia="zh-CN"/>
              </w:rPr>
              <w:t>非居民个人所得税自行申报</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280" w:firstLineChars="1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val="en-US" w:eastAsia="zh-CN"/>
              </w:rPr>
              <w:t>行政征收</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sz w:val="21"/>
                <w:szCs w:val="21"/>
                <w:lang w:eastAsia="zh-CN"/>
              </w:rPr>
              <w:t>《个人所得税自行纳税申报表（A表）》，《个人所得税减免税事项报告表》</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sz w:val="21"/>
                <w:szCs w:val="21"/>
                <w:lang w:eastAsia="zh-CN"/>
              </w:rPr>
              <w:t>《中华人民共和国税收征收管理法》（中华人民共和国主席令第49号）第二十五条第一款</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《中华人民共和国税收征收管理法实施细则》（国务院令第362号）</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《中华人民共和国个人所得税法》(中华人民共和国主席令第九号)第二条</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《中华人民共和国个人所得税法实施条例》(中华人民共和国国务院令第707号)</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《国家税务总局关于个人所得税自行纳税申报有关问题的公告》(国家税务总局公告2018年第62号)</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《财政部 税务总局关于个人所得税法修改后有关优惠政策衔接问题的通知 》（财税〔2018〕164号）</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《财政部 税务总局关于非居民个人和无住所居民个人有关个人所得税政策的公告》（财政部 税务总局公告2019年第35号 ）</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000000" w:sz="2"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tcBorders>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cs="仿宋" w:eastAsiaTheme="minorEastAsia"/>
                <w:color w:val="auto"/>
                <w:kern w:val="2"/>
                <w:sz w:val="28"/>
                <w:szCs w:val="28"/>
                <w:lang w:val="en-US" w:eastAsia="zh-CN" w:bidi="ar-SA"/>
              </w:rPr>
            </w:pPr>
            <w:r>
              <w:rPr>
                <w:rFonts w:hint="eastAsia" w:ascii="仿宋" w:hAnsi="仿宋" w:cs="仿宋" w:eastAsiaTheme="minorEastAsia"/>
                <w:sz w:val="28"/>
                <w:szCs w:val="28"/>
                <w:lang w:eastAsia="zh-CN"/>
              </w:rPr>
              <w:t>限售股转让所得个人所得税清算申报</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280" w:firstLineChars="1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val="en-US" w:eastAsia="zh-CN"/>
              </w:rPr>
              <w:t>行政征收</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sz w:val="21"/>
                <w:szCs w:val="21"/>
                <w:lang w:eastAsia="zh-CN"/>
              </w:rPr>
              <w:t>限售股转让所得个人所得税清算申报表，中华人民共和国居民身份证，限售股交易明细记录（加盖开户证券机构章），财产原值凭证</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sz w:val="21"/>
                <w:szCs w:val="21"/>
                <w:lang w:eastAsia="zh-CN"/>
              </w:rPr>
              <w:t>《中华人民共和国税收征收管理法》（中华人民共和国主席令第49号）第二十五条第一款</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《中华人民共和国税收征收管理法实施细则》（国务院令第362号）</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《财政部国家税务总局证监会关于个人转让上市公司限售股所得征收个人所得税有关问题的通知》（财税〔2009〕167 号）</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《财政部国家税务总局证监会关于个人转让上市公司限售股所得征收个人所得税有关问题的补充通知》（财税〔2010〕70 号）</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《财政部 国家税务总局 证监会关于实施上市公司股息红利差别化个人所得税政策有关问题的通知》（财税[2012]85号）</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《中华人民共和国个人所得税法》(中华人民共和国主席令第九号) 第二条</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《中华人民共和国个人所得税法实施条例》(中华人民共和国国务院令第707号)</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《国家税务总局关于个人所得税自行纳税申报有关问题的公告》(国家税务总局公告2018年第62号)</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000000" w:sz="2"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保留</w:t>
            </w:r>
          </w:p>
        </w:tc>
        <w:tc>
          <w:tcPr>
            <w:tcW w:w="2159" w:type="dxa"/>
            <w:tcBorders>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tcBorders>
              <w:top w:val="single" w:color="auto" w:sz="4" w:space="0"/>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cs="仿宋" w:eastAsiaTheme="minorEastAsia"/>
                <w:color w:val="auto"/>
                <w:kern w:val="2"/>
                <w:sz w:val="28"/>
                <w:szCs w:val="28"/>
                <w:lang w:val="en-US" w:eastAsia="zh-CN" w:bidi="ar-SA"/>
              </w:rPr>
            </w:pPr>
            <w:r>
              <w:rPr>
                <w:rFonts w:hint="eastAsia" w:ascii="仿宋" w:hAnsi="仿宋" w:cs="仿宋" w:eastAsiaTheme="minorEastAsia"/>
                <w:sz w:val="28"/>
                <w:szCs w:val="28"/>
                <w:lang w:eastAsia="zh-CN"/>
              </w:rPr>
              <w:t>委托代征报告</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280" w:firstLineChars="1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val="en-US" w:eastAsia="zh-CN"/>
              </w:rPr>
              <w:t xml:space="preserve">行政征收               </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sz w:val="21"/>
                <w:szCs w:val="21"/>
                <w:lang w:eastAsia="zh-CN"/>
              </w:rPr>
              <w:t>《委托代征税款报告表》，其他</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sz w:val="21"/>
                <w:szCs w:val="21"/>
                <w:lang w:eastAsia="zh-CN"/>
              </w:rPr>
              <w:t>《中华人民共和国税收征收管理法》（中华人民共和国主席令第49号）第十九条第一款</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《中华人民共和国税收征收管理法实施细则》（国务院令第362号）第四十四条第一款</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《国家税务总局关于发布〈委托代征管理办法〉的公告》（国家税务总局公告2013年第24号）</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000000" w:sz="2"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tcBorders>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cs="仿宋" w:eastAsiaTheme="minorEastAsia"/>
                <w:color w:val="auto"/>
                <w:kern w:val="2"/>
                <w:sz w:val="28"/>
                <w:szCs w:val="28"/>
                <w:lang w:val="en-US" w:eastAsia="zh-CN" w:bidi="ar-SA"/>
              </w:rPr>
            </w:pPr>
            <w:r>
              <w:rPr>
                <w:rFonts w:hint="eastAsia" w:ascii="仿宋" w:hAnsi="仿宋" w:cs="仿宋" w:eastAsiaTheme="minorEastAsia"/>
                <w:sz w:val="28"/>
                <w:szCs w:val="28"/>
                <w:lang w:eastAsia="zh-CN"/>
              </w:rPr>
              <w:t>印花税票代售报告</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280" w:firstLineChars="1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val="en-US" w:eastAsia="zh-CN"/>
              </w:rPr>
              <w:t>行政征收</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sz w:val="21"/>
                <w:szCs w:val="21"/>
                <w:lang w:eastAsia="zh-CN"/>
              </w:rPr>
              <w:t>《印花税票代售报告表》</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sz w:val="21"/>
                <w:szCs w:val="21"/>
                <w:lang w:eastAsia="zh-CN"/>
              </w:rPr>
              <w:t>《中华人民共和国税收征收管理法》（中华人民共和国主席令第49号）第二十五条第一款 《中华人民共和国印花税暂行条例施行细则》（国务院令第362号）第三十一条</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000000" w:sz="2"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保留</w:t>
            </w:r>
          </w:p>
        </w:tc>
        <w:tc>
          <w:tcPr>
            <w:tcW w:w="2159" w:type="dxa"/>
            <w:tcBorders>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tcBorders>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cs="仿宋" w:eastAsiaTheme="minorEastAsia"/>
                <w:color w:val="auto"/>
                <w:kern w:val="2"/>
                <w:sz w:val="28"/>
                <w:szCs w:val="28"/>
                <w:lang w:val="en-US" w:eastAsia="zh-CN" w:bidi="ar-SA"/>
              </w:rPr>
            </w:pPr>
            <w:r>
              <w:rPr>
                <w:rFonts w:hint="eastAsia" w:ascii="仿宋" w:hAnsi="仿宋" w:cs="仿宋" w:eastAsiaTheme="minorEastAsia"/>
                <w:sz w:val="28"/>
                <w:szCs w:val="28"/>
                <w:lang w:eastAsia="zh-CN"/>
              </w:rPr>
              <w:t>通用申报（税及附征税费）</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280" w:firstLineChars="1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val="en-US" w:eastAsia="zh-CN"/>
              </w:rPr>
              <w:t>行政征收</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sz w:val="21"/>
                <w:szCs w:val="21"/>
                <w:lang w:eastAsia="zh-CN"/>
              </w:rPr>
              <w:t>《通用申报表（税及附征税费）》</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sz w:val="21"/>
                <w:szCs w:val="21"/>
                <w:lang w:eastAsia="zh-CN"/>
              </w:rPr>
              <w:t>《中华人民共和国税收征收管理法》（中华人民共和国主席令第49号）第二十五条第一款</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000000" w:sz="2"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保留</w:t>
            </w:r>
          </w:p>
        </w:tc>
        <w:tc>
          <w:tcPr>
            <w:tcW w:w="2159" w:type="dxa"/>
            <w:tcBorders>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67"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tcBorders>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cs="仿宋" w:eastAsiaTheme="minorEastAsia"/>
                <w:color w:val="auto"/>
                <w:kern w:val="2"/>
                <w:sz w:val="28"/>
                <w:szCs w:val="28"/>
                <w:lang w:val="en-US" w:eastAsia="zh-CN" w:bidi="ar-SA"/>
              </w:rPr>
            </w:pPr>
            <w:r>
              <w:rPr>
                <w:rFonts w:hint="eastAsia" w:ascii="仿宋" w:hAnsi="仿宋" w:cs="仿宋" w:eastAsiaTheme="minorEastAsia"/>
                <w:sz w:val="28"/>
                <w:szCs w:val="28"/>
                <w:lang w:eastAsia="zh-CN"/>
              </w:rPr>
              <w:t>附加税（费）申报</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280" w:firstLineChars="1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val="en-US" w:eastAsia="zh-CN"/>
              </w:rPr>
              <w:t>行政征收</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sz w:val="21"/>
                <w:szCs w:val="21"/>
                <w:lang w:eastAsia="zh-CN"/>
              </w:rPr>
              <w:t>《城市维护建设税教育费附加地方教育附加申报表》2份</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w w:val="80"/>
                <w:sz w:val="21"/>
                <w:szCs w:val="21"/>
                <w:lang w:eastAsia="zh-CN"/>
              </w:rPr>
              <w:t>《中华人民共和国税收征收管理法》（中华人民共和国主席令第49号）第二十五条第一款</w:t>
            </w:r>
            <w:r>
              <w:rPr>
                <w:rFonts w:hint="eastAsia" w:ascii="仿宋" w:hAnsi="仿宋" w:eastAsia="仿宋" w:cs="仿宋"/>
                <w:b w:val="0"/>
                <w:bCs w:val="0"/>
                <w:w w:val="80"/>
                <w:sz w:val="21"/>
                <w:szCs w:val="21"/>
                <w:lang w:eastAsia="zh-CN"/>
              </w:rPr>
              <w:br w:type="textWrapping"/>
            </w:r>
            <w:r>
              <w:rPr>
                <w:rFonts w:hint="eastAsia" w:ascii="仿宋" w:hAnsi="仿宋" w:eastAsia="仿宋" w:cs="仿宋"/>
                <w:b w:val="0"/>
                <w:bCs w:val="0"/>
                <w:w w:val="80"/>
                <w:sz w:val="21"/>
                <w:szCs w:val="21"/>
                <w:lang w:eastAsia="zh-CN"/>
              </w:rPr>
              <w:t>《中华人民共和国税收征收管理法实施细则》（国务院令第362号）</w:t>
            </w:r>
            <w:r>
              <w:rPr>
                <w:rFonts w:hint="eastAsia" w:ascii="仿宋" w:hAnsi="仿宋" w:eastAsia="仿宋" w:cs="仿宋"/>
                <w:b w:val="0"/>
                <w:bCs w:val="0"/>
                <w:w w:val="80"/>
                <w:sz w:val="21"/>
                <w:szCs w:val="21"/>
                <w:lang w:eastAsia="zh-CN"/>
              </w:rPr>
              <w:br w:type="textWrapping"/>
            </w:r>
            <w:r>
              <w:rPr>
                <w:rFonts w:hint="eastAsia" w:ascii="仿宋" w:hAnsi="仿宋" w:eastAsia="仿宋" w:cs="仿宋"/>
                <w:b w:val="0"/>
                <w:bCs w:val="0"/>
                <w:w w:val="80"/>
                <w:sz w:val="21"/>
                <w:szCs w:val="21"/>
                <w:lang w:eastAsia="zh-CN"/>
              </w:rPr>
              <w:t>《中华人民共和国城市维护建设税暂行条例》（国发〔1985〕19号）第二条</w:t>
            </w:r>
            <w:r>
              <w:rPr>
                <w:rFonts w:hint="eastAsia" w:ascii="仿宋" w:hAnsi="仿宋" w:eastAsia="仿宋" w:cs="仿宋"/>
                <w:b w:val="0"/>
                <w:bCs w:val="0"/>
                <w:w w:val="80"/>
                <w:sz w:val="21"/>
                <w:szCs w:val="21"/>
                <w:lang w:eastAsia="zh-CN"/>
              </w:rPr>
              <w:br w:type="textWrapping"/>
            </w:r>
            <w:r>
              <w:rPr>
                <w:rFonts w:hint="eastAsia" w:ascii="仿宋" w:hAnsi="仿宋" w:eastAsia="仿宋" w:cs="仿宋"/>
                <w:b w:val="0"/>
                <w:bCs w:val="0"/>
                <w:w w:val="80"/>
                <w:sz w:val="21"/>
                <w:szCs w:val="21"/>
                <w:lang w:eastAsia="zh-CN"/>
              </w:rPr>
              <w:t>《国务院关于征收教育费附加的暂行规定》（国发〔1986〕50 号）第二条</w:t>
            </w:r>
            <w:r>
              <w:rPr>
                <w:rFonts w:hint="eastAsia" w:ascii="仿宋" w:hAnsi="仿宋" w:eastAsia="仿宋" w:cs="仿宋"/>
                <w:b w:val="0"/>
                <w:bCs w:val="0"/>
                <w:w w:val="80"/>
                <w:sz w:val="21"/>
                <w:szCs w:val="21"/>
                <w:lang w:eastAsia="zh-CN"/>
              </w:rPr>
              <w:br w:type="textWrapping"/>
            </w:r>
            <w:r>
              <w:rPr>
                <w:rFonts w:hint="eastAsia" w:ascii="仿宋" w:hAnsi="仿宋" w:eastAsia="仿宋" w:cs="仿宋"/>
                <w:b w:val="0"/>
                <w:bCs w:val="0"/>
                <w:w w:val="80"/>
                <w:sz w:val="21"/>
                <w:szCs w:val="21"/>
                <w:lang w:eastAsia="zh-CN"/>
              </w:rPr>
              <w:t>《财政部关于统一地方教育附加政策有关问题的通知》（财综〔2010〕98号）</w:t>
            </w:r>
            <w:r>
              <w:rPr>
                <w:rFonts w:hint="eastAsia" w:ascii="仿宋" w:hAnsi="仿宋" w:eastAsia="仿宋" w:cs="仿宋"/>
                <w:b w:val="0"/>
                <w:bCs w:val="0"/>
                <w:w w:val="80"/>
                <w:sz w:val="21"/>
                <w:szCs w:val="21"/>
                <w:lang w:eastAsia="zh-CN"/>
              </w:rPr>
              <w:br w:type="textWrapping"/>
            </w:r>
            <w:r>
              <w:rPr>
                <w:rFonts w:hint="eastAsia" w:ascii="仿宋" w:hAnsi="仿宋" w:eastAsia="仿宋" w:cs="仿宋"/>
                <w:b w:val="0"/>
                <w:bCs w:val="0"/>
                <w:w w:val="80"/>
                <w:sz w:val="21"/>
                <w:szCs w:val="21"/>
                <w:lang w:eastAsia="zh-CN"/>
              </w:rPr>
              <w:t>《国务院关于统一外资企业和个人城市维护建设税和教育费附加制度的通知》（国发〔2010〕35号)</w:t>
            </w:r>
            <w:r>
              <w:rPr>
                <w:rFonts w:hint="eastAsia" w:ascii="仿宋" w:hAnsi="仿宋" w:eastAsia="仿宋" w:cs="仿宋"/>
                <w:b w:val="0"/>
                <w:bCs w:val="0"/>
                <w:w w:val="80"/>
                <w:sz w:val="21"/>
                <w:szCs w:val="21"/>
                <w:lang w:eastAsia="zh-CN"/>
              </w:rPr>
              <w:br w:type="textWrapping"/>
            </w:r>
            <w:r>
              <w:rPr>
                <w:rFonts w:hint="eastAsia" w:ascii="仿宋" w:hAnsi="仿宋" w:eastAsia="仿宋" w:cs="仿宋"/>
                <w:b w:val="0"/>
                <w:bCs w:val="0"/>
                <w:w w:val="80"/>
                <w:sz w:val="21"/>
                <w:szCs w:val="21"/>
                <w:lang w:eastAsia="zh-CN"/>
              </w:rPr>
              <w:t>《国家税务总局关于合理简并纳税人申报缴税次数的公告》（国家税务总局公告2016年第6号）</w:t>
            </w:r>
            <w:r>
              <w:rPr>
                <w:rFonts w:hint="eastAsia" w:ascii="仿宋" w:hAnsi="仿宋" w:eastAsia="仿宋" w:cs="仿宋"/>
                <w:b w:val="0"/>
                <w:bCs w:val="0"/>
                <w:w w:val="80"/>
                <w:sz w:val="21"/>
                <w:szCs w:val="21"/>
                <w:lang w:eastAsia="zh-CN"/>
              </w:rPr>
              <w:br w:type="textWrapping"/>
            </w:r>
            <w:r>
              <w:rPr>
                <w:rFonts w:hint="eastAsia" w:ascii="仿宋" w:hAnsi="仿宋" w:eastAsia="仿宋" w:cs="仿宋"/>
                <w:b w:val="0"/>
                <w:bCs w:val="0"/>
                <w:w w:val="80"/>
                <w:sz w:val="21"/>
                <w:szCs w:val="21"/>
                <w:lang w:eastAsia="zh-CN"/>
              </w:rPr>
              <w:t>《财政部税务总局关于增值税期末留抵退税有关城市维护建设税教育费附加和地方教育附加政策的通知》（财税〔2018〕80号）</w:t>
            </w:r>
            <w:r>
              <w:rPr>
                <w:rFonts w:hint="eastAsia" w:ascii="仿宋" w:hAnsi="仿宋" w:eastAsia="仿宋" w:cs="仿宋"/>
                <w:b w:val="0"/>
                <w:bCs w:val="0"/>
                <w:w w:val="80"/>
                <w:sz w:val="21"/>
                <w:szCs w:val="21"/>
                <w:lang w:eastAsia="zh-CN"/>
              </w:rPr>
              <w:br w:type="textWrapping"/>
            </w:r>
            <w:r>
              <w:rPr>
                <w:rFonts w:hint="eastAsia" w:ascii="仿宋" w:hAnsi="仿宋" w:eastAsia="仿宋" w:cs="仿宋"/>
                <w:b w:val="0"/>
                <w:bCs w:val="0"/>
                <w:w w:val="80"/>
                <w:sz w:val="21"/>
                <w:szCs w:val="21"/>
                <w:lang w:eastAsia="zh-CN"/>
              </w:rPr>
              <w:t>《财政部税务总局关于实施小微企业普惠性税收减免政策的通知》（财税〔2019〕13号）</w:t>
            </w:r>
            <w:r>
              <w:rPr>
                <w:rFonts w:hint="eastAsia" w:ascii="仿宋" w:hAnsi="仿宋" w:eastAsia="仿宋" w:cs="仿宋"/>
                <w:b w:val="0"/>
                <w:bCs w:val="0"/>
                <w:w w:val="80"/>
                <w:sz w:val="21"/>
                <w:szCs w:val="21"/>
                <w:lang w:eastAsia="zh-CN"/>
              </w:rPr>
              <w:br w:type="textWrapping"/>
            </w:r>
            <w:r>
              <w:rPr>
                <w:rFonts w:hint="eastAsia" w:ascii="仿宋" w:hAnsi="仿宋" w:eastAsia="仿宋" w:cs="仿宋"/>
                <w:b w:val="0"/>
                <w:bCs w:val="0"/>
                <w:w w:val="80"/>
                <w:sz w:val="21"/>
                <w:szCs w:val="21"/>
                <w:lang w:eastAsia="zh-CN"/>
              </w:rPr>
              <w:t>《国家税务总局关于增值税小规模纳税人地方税种和相关附加减征政策有关征管问题的公告》（国家税务总局公告2019年第5号）</w:t>
            </w:r>
            <w:r>
              <w:rPr>
                <w:rFonts w:hint="eastAsia" w:ascii="仿宋" w:hAnsi="仿宋" w:eastAsia="仿宋" w:cs="仿宋"/>
                <w:b w:val="0"/>
                <w:bCs w:val="0"/>
                <w:w w:val="80"/>
                <w:sz w:val="21"/>
                <w:szCs w:val="21"/>
                <w:lang w:eastAsia="zh-CN"/>
              </w:rPr>
              <w:br w:type="textWrapping"/>
            </w:r>
            <w:r>
              <w:rPr>
                <w:rFonts w:hint="eastAsia" w:ascii="仿宋" w:hAnsi="仿宋" w:eastAsia="仿宋" w:cs="仿宋"/>
                <w:b w:val="0"/>
                <w:bCs w:val="0"/>
                <w:w w:val="80"/>
                <w:sz w:val="21"/>
                <w:szCs w:val="21"/>
                <w:lang w:eastAsia="zh-CN"/>
              </w:rPr>
              <w:t>《安徽省财政厅 国家税务总局安徽省税务局关于我省小规模纳税人减按50%征收地方税及附加的通知》（财税法〔2019〕119号）</w:t>
            </w:r>
            <w:r>
              <w:rPr>
                <w:rFonts w:hint="eastAsia" w:ascii="仿宋" w:hAnsi="仿宋" w:eastAsia="仿宋" w:cs="仿宋"/>
                <w:b w:val="0"/>
                <w:bCs w:val="0"/>
                <w:w w:val="80"/>
                <w:sz w:val="21"/>
                <w:szCs w:val="21"/>
                <w:lang w:eastAsia="zh-CN"/>
              </w:rPr>
              <w:br w:type="textWrapping"/>
            </w:r>
            <w:r>
              <w:rPr>
                <w:rFonts w:hint="eastAsia" w:ascii="仿宋" w:hAnsi="仿宋" w:eastAsia="仿宋" w:cs="仿宋"/>
                <w:b w:val="0"/>
                <w:bCs w:val="0"/>
                <w:w w:val="80"/>
                <w:sz w:val="21"/>
                <w:szCs w:val="21"/>
                <w:lang w:eastAsia="zh-CN"/>
              </w:rPr>
              <w:t>《国家税务总局 关于调整部分政府性基金有关征管事项的公告》（国家税务总局公告2019年第24号）</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000000" w:sz="2"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保留</w:t>
            </w:r>
          </w:p>
        </w:tc>
        <w:tc>
          <w:tcPr>
            <w:tcW w:w="2159" w:type="dxa"/>
            <w:tcBorders>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tcBorders>
              <w:top w:val="single" w:color="auto" w:sz="4" w:space="0"/>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cs="仿宋" w:eastAsiaTheme="minorEastAsia"/>
                <w:color w:val="auto"/>
                <w:kern w:val="2"/>
                <w:sz w:val="28"/>
                <w:szCs w:val="28"/>
                <w:lang w:val="en-US" w:eastAsia="zh-CN" w:bidi="ar-SA"/>
              </w:rPr>
            </w:pPr>
            <w:r>
              <w:rPr>
                <w:rFonts w:hint="eastAsia" w:ascii="仿宋" w:hAnsi="仿宋" w:cs="仿宋" w:eastAsiaTheme="minorEastAsia"/>
                <w:sz w:val="28"/>
                <w:szCs w:val="28"/>
                <w:lang w:eastAsia="zh-CN"/>
              </w:rPr>
              <w:t>印花税申报</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280" w:firstLineChars="1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val="en-US" w:eastAsia="zh-CN"/>
              </w:rPr>
              <w:t>行政征收</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sz w:val="21"/>
                <w:szCs w:val="21"/>
                <w:lang w:eastAsia="zh-CN"/>
              </w:rPr>
              <w:t>《印花税纳税申报（报告）表》</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w w:val="70"/>
                <w:kern w:val="2"/>
                <w:sz w:val="21"/>
                <w:szCs w:val="21"/>
                <w:lang w:val="en-US" w:eastAsia="zh-CN" w:bidi="ar-SA"/>
              </w:rPr>
            </w:pPr>
            <w:r>
              <w:rPr>
                <w:rFonts w:hint="eastAsia" w:ascii="仿宋" w:hAnsi="仿宋" w:eastAsia="仿宋" w:cs="仿宋"/>
                <w:b w:val="0"/>
                <w:bCs w:val="0"/>
                <w:w w:val="70"/>
                <w:sz w:val="21"/>
                <w:szCs w:val="21"/>
                <w:lang w:eastAsia="zh-CN"/>
              </w:rPr>
              <w:t>《中华人民共和国税收征收管理法》（中华人民共和国主席令第49号）第二十五条第一款</w:t>
            </w:r>
            <w:r>
              <w:rPr>
                <w:rFonts w:hint="eastAsia" w:ascii="仿宋" w:hAnsi="仿宋" w:eastAsia="仿宋" w:cs="仿宋"/>
                <w:b w:val="0"/>
                <w:bCs w:val="0"/>
                <w:w w:val="70"/>
                <w:sz w:val="21"/>
                <w:szCs w:val="21"/>
                <w:lang w:eastAsia="zh-CN"/>
              </w:rPr>
              <w:br w:type="textWrapping"/>
            </w:r>
            <w:r>
              <w:rPr>
                <w:rFonts w:hint="eastAsia" w:ascii="仿宋" w:hAnsi="仿宋" w:eastAsia="仿宋" w:cs="仿宋"/>
                <w:b w:val="0"/>
                <w:bCs w:val="0"/>
                <w:w w:val="70"/>
                <w:sz w:val="21"/>
                <w:szCs w:val="21"/>
                <w:lang w:eastAsia="zh-CN"/>
              </w:rPr>
              <w:t>《中华人民共和国税收征收管理法实施细则》（国务院令第362号）</w:t>
            </w:r>
            <w:r>
              <w:rPr>
                <w:rFonts w:hint="eastAsia" w:ascii="仿宋" w:hAnsi="仿宋" w:eastAsia="仿宋" w:cs="仿宋"/>
                <w:b w:val="0"/>
                <w:bCs w:val="0"/>
                <w:w w:val="70"/>
                <w:sz w:val="21"/>
                <w:szCs w:val="21"/>
                <w:lang w:eastAsia="zh-CN"/>
              </w:rPr>
              <w:br w:type="textWrapping"/>
            </w:r>
            <w:r>
              <w:rPr>
                <w:rFonts w:hint="eastAsia" w:ascii="仿宋" w:hAnsi="仿宋" w:eastAsia="仿宋" w:cs="仿宋"/>
                <w:b w:val="0"/>
                <w:bCs w:val="0"/>
                <w:w w:val="70"/>
                <w:sz w:val="21"/>
                <w:szCs w:val="21"/>
                <w:lang w:eastAsia="zh-CN"/>
              </w:rPr>
              <w:t>《中华人民共和国印花税暂行条例》（国务院令第11号）第一条</w:t>
            </w:r>
            <w:r>
              <w:rPr>
                <w:rFonts w:hint="eastAsia" w:ascii="仿宋" w:hAnsi="仿宋" w:eastAsia="仿宋" w:cs="仿宋"/>
                <w:b w:val="0"/>
                <w:bCs w:val="0"/>
                <w:w w:val="70"/>
                <w:sz w:val="21"/>
                <w:szCs w:val="21"/>
                <w:lang w:eastAsia="zh-CN"/>
              </w:rPr>
              <w:br w:type="textWrapping"/>
            </w:r>
            <w:r>
              <w:rPr>
                <w:rFonts w:hint="eastAsia" w:ascii="仿宋" w:hAnsi="仿宋" w:eastAsia="仿宋" w:cs="仿宋"/>
                <w:b w:val="0"/>
                <w:bCs w:val="0"/>
                <w:w w:val="70"/>
                <w:sz w:val="21"/>
                <w:szCs w:val="21"/>
                <w:lang w:eastAsia="zh-CN"/>
              </w:rPr>
              <w:t>《国家税务总局关于发布《印花税管理规程（试行）》的公告（国家税务总局公告2016年第77号）</w:t>
            </w:r>
            <w:r>
              <w:rPr>
                <w:rFonts w:hint="eastAsia" w:ascii="仿宋" w:hAnsi="仿宋" w:eastAsia="仿宋" w:cs="仿宋"/>
                <w:b w:val="0"/>
                <w:bCs w:val="0"/>
                <w:w w:val="70"/>
                <w:sz w:val="21"/>
                <w:szCs w:val="21"/>
                <w:lang w:eastAsia="zh-CN"/>
              </w:rPr>
              <w:br w:type="textWrapping"/>
            </w:r>
            <w:r>
              <w:rPr>
                <w:rFonts w:hint="eastAsia" w:ascii="仿宋" w:hAnsi="仿宋" w:eastAsia="仿宋" w:cs="仿宋"/>
                <w:b w:val="0"/>
                <w:bCs w:val="0"/>
                <w:w w:val="70"/>
                <w:sz w:val="21"/>
                <w:szCs w:val="21"/>
                <w:lang w:eastAsia="zh-CN"/>
              </w:rPr>
              <w:t>《财政部 税务总局关于实施小微企业普惠性税收减免政策的通知》（财税〔2019〕13号）</w:t>
            </w:r>
            <w:r>
              <w:rPr>
                <w:rFonts w:hint="eastAsia" w:ascii="仿宋" w:hAnsi="仿宋" w:eastAsia="仿宋" w:cs="仿宋"/>
                <w:b w:val="0"/>
                <w:bCs w:val="0"/>
                <w:w w:val="70"/>
                <w:sz w:val="21"/>
                <w:szCs w:val="21"/>
                <w:lang w:eastAsia="zh-CN"/>
              </w:rPr>
              <w:br w:type="textWrapping"/>
            </w:r>
            <w:r>
              <w:rPr>
                <w:rFonts w:hint="eastAsia" w:ascii="仿宋" w:hAnsi="仿宋" w:eastAsia="仿宋" w:cs="仿宋"/>
                <w:b w:val="0"/>
                <w:bCs w:val="0"/>
                <w:w w:val="70"/>
                <w:sz w:val="21"/>
                <w:szCs w:val="21"/>
                <w:lang w:eastAsia="zh-CN"/>
              </w:rPr>
              <w:t>《国家税务总局关于增值税小规模纳税人地方税种和相关附加减征政策有关征管问题的公告》（国家税务总局公2019年第5号）</w:t>
            </w:r>
            <w:r>
              <w:rPr>
                <w:rFonts w:hint="eastAsia" w:ascii="仿宋" w:hAnsi="仿宋" w:eastAsia="仿宋" w:cs="仿宋"/>
                <w:b w:val="0"/>
                <w:bCs w:val="0"/>
                <w:w w:val="70"/>
                <w:sz w:val="21"/>
                <w:szCs w:val="21"/>
                <w:lang w:eastAsia="zh-CN"/>
              </w:rPr>
              <w:br w:type="textWrapping"/>
            </w:r>
            <w:r>
              <w:rPr>
                <w:rFonts w:hint="eastAsia" w:ascii="仿宋" w:hAnsi="仿宋" w:eastAsia="仿宋" w:cs="仿宋"/>
                <w:b w:val="0"/>
                <w:bCs w:val="0"/>
                <w:w w:val="70"/>
                <w:sz w:val="21"/>
                <w:szCs w:val="21"/>
                <w:lang w:eastAsia="zh-CN"/>
              </w:rPr>
              <w:t>《安徽省财政厅 国家税务总局安徽省税务局关于我省小规模纳税人减按50%征收地方税及附加的通知》（财税法2019〕119号）</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000000" w:sz="2"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tcBorders>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cs="仿宋" w:eastAsiaTheme="minorEastAsia"/>
                <w:color w:val="auto"/>
                <w:kern w:val="2"/>
                <w:sz w:val="28"/>
                <w:szCs w:val="28"/>
                <w:lang w:val="en-US" w:eastAsia="zh-CN" w:bidi="ar-SA"/>
              </w:rPr>
            </w:pPr>
            <w:r>
              <w:rPr>
                <w:rFonts w:hint="eastAsia" w:ascii="仿宋" w:hAnsi="仿宋" w:cs="仿宋" w:eastAsiaTheme="minorEastAsia"/>
                <w:sz w:val="28"/>
                <w:szCs w:val="28"/>
                <w:lang w:eastAsia="zh-CN"/>
              </w:rPr>
              <w:t>城镇土地使用税申报</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280" w:firstLineChars="1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val="en-US" w:eastAsia="zh-CN"/>
              </w:rPr>
              <w:t>行政征收</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sz w:val="21"/>
                <w:szCs w:val="21"/>
                <w:lang w:eastAsia="zh-CN"/>
              </w:rPr>
              <w:t>《城镇土地使用税 房产税纳税申报表》，《城镇土地使用税 房产税税源明细表》，《城镇土地使用税 房产税减免税明细申报表》</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w w:val="70"/>
                <w:kern w:val="2"/>
                <w:sz w:val="21"/>
                <w:szCs w:val="21"/>
                <w:lang w:val="en-US" w:eastAsia="zh-CN" w:bidi="ar-SA"/>
              </w:rPr>
            </w:pPr>
            <w:r>
              <w:rPr>
                <w:rFonts w:hint="eastAsia" w:ascii="仿宋" w:hAnsi="仿宋" w:eastAsia="仿宋" w:cs="仿宋"/>
                <w:b w:val="0"/>
                <w:bCs w:val="0"/>
                <w:w w:val="70"/>
                <w:sz w:val="21"/>
                <w:szCs w:val="21"/>
                <w:lang w:eastAsia="zh-CN"/>
              </w:rPr>
              <w:t>《中华人民共和国税收征收管理法》（中华人民共和国主席令第49号）第二十五条第一款</w:t>
            </w:r>
            <w:r>
              <w:rPr>
                <w:rFonts w:hint="eastAsia" w:ascii="仿宋" w:hAnsi="仿宋" w:eastAsia="仿宋" w:cs="仿宋"/>
                <w:b w:val="0"/>
                <w:bCs w:val="0"/>
                <w:w w:val="70"/>
                <w:sz w:val="21"/>
                <w:szCs w:val="21"/>
                <w:lang w:eastAsia="zh-CN"/>
              </w:rPr>
              <w:br w:type="textWrapping"/>
            </w:r>
            <w:r>
              <w:rPr>
                <w:rFonts w:hint="eastAsia" w:ascii="仿宋" w:hAnsi="仿宋" w:eastAsia="仿宋" w:cs="仿宋"/>
                <w:b w:val="0"/>
                <w:bCs w:val="0"/>
                <w:w w:val="70"/>
                <w:sz w:val="21"/>
                <w:szCs w:val="21"/>
                <w:lang w:eastAsia="zh-CN"/>
              </w:rPr>
              <w:t>《中华人民共和国城镇土地使用税暂行条例》（国务院令第17号）第一条、第二条、第八条</w:t>
            </w:r>
            <w:r>
              <w:rPr>
                <w:rFonts w:hint="eastAsia" w:ascii="仿宋" w:hAnsi="仿宋" w:eastAsia="仿宋" w:cs="仿宋"/>
                <w:b w:val="0"/>
                <w:bCs w:val="0"/>
                <w:w w:val="70"/>
                <w:sz w:val="21"/>
                <w:szCs w:val="21"/>
                <w:lang w:eastAsia="zh-CN"/>
              </w:rPr>
              <w:br w:type="textWrapping"/>
            </w:r>
            <w:r>
              <w:rPr>
                <w:rFonts w:hint="eastAsia" w:ascii="仿宋" w:hAnsi="仿宋" w:eastAsia="仿宋" w:cs="仿宋"/>
                <w:b w:val="0"/>
                <w:bCs w:val="0"/>
                <w:w w:val="70"/>
                <w:sz w:val="21"/>
                <w:szCs w:val="21"/>
                <w:lang w:eastAsia="zh-CN"/>
              </w:rPr>
              <w:t>《中华人民共和国税收征收管理法实施细则》（国务院令第362号）</w:t>
            </w:r>
            <w:r>
              <w:rPr>
                <w:rFonts w:hint="eastAsia" w:ascii="仿宋" w:hAnsi="仿宋" w:eastAsia="仿宋" w:cs="仿宋"/>
                <w:b w:val="0"/>
                <w:bCs w:val="0"/>
                <w:w w:val="70"/>
                <w:sz w:val="21"/>
                <w:szCs w:val="21"/>
                <w:lang w:eastAsia="zh-CN"/>
              </w:rPr>
              <w:br w:type="textWrapping"/>
            </w:r>
            <w:r>
              <w:rPr>
                <w:rFonts w:hint="eastAsia" w:ascii="仿宋" w:hAnsi="仿宋" w:eastAsia="仿宋" w:cs="仿宋"/>
                <w:b w:val="0"/>
                <w:bCs w:val="0"/>
                <w:w w:val="70"/>
                <w:sz w:val="21"/>
                <w:szCs w:val="21"/>
                <w:lang w:eastAsia="zh-CN"/>
              </w:rPr>
              <w:t>《国务院关于修改＆lt;中华人民共和国城镇土地使用税暂行条例＆gt;的决定》（国务院令第483号）</w:t>
            </w:r>
            <w:r>
              <w:rPr>
                <w:rFonts w:hint="eastAsia" w:ascii="仿宋" w:hAnsi="仿宋" w:eastAsia="仿宋" w:cs="仿宋"/>
                <w:b w:val="0"/>
                <w:bCs w:val="0"/>
                <w:w w:val="70"/>
                <w:sz w:val="21"/>
                <w:szCs w:val="21"/>
                <w:lang w:eastAsia="zh-CN"/>
              </w:rPr>
              <w:br w:type="textWrapping"/>
            </w:r>
            <w:r>
              <w:rPr>
                <w:rFonts w:hint="eastAsia" w:ascii="仿宋" w:hAnsi="仿宋" w:eastAsia="仿宋" w:cs="仿宋"/>
                <w:b w:val="0"/>
                <w:bCs w:val="0"/>
                <w:w w:val="70"/>
                <w:sz w:val="21"/>
                <w:szCs w:val="21"/>
                <w:lang w:eastAsia="zh-CN"/>
              </w:rPr>
              <w:t>《财政部国家税务总局关于房产税 城镇土地使用税有关政策的通知》（财税〔2006〕186号）</w:t>
            </w:r>
            <w:r>
              <w:rPr>
                <w:rFonts w:hint="eastAsia" w:ascii="仿宋" w:hAnsi="仿宋" w:eastAsia="仿宋" w:cs="仿宋"/>
                <w:b w:val="0"/>
                <w:bCs w:val="0"/>
                <w:w w:val="70"/>
                <w:sz w:val="21"/>
                <w:szCs w:val="21"/>
                <w:lang w:eastAsia="zh-CN"/>
              </w:rPr>
              <w:br w:type="textWrapping"/>
            </w:r>
            <w:r>
              <w:rPr>
                <w:rFonts w:hint="eastAsia" w:ascii="仿宋" w:hAnsi="仿宋" w:eastAsia="仿宋" w:cs="仿宋"/>
                <w:b w:val="0"/>
                <w:bCs w:val="0"/>
                <w:w w:val="70"/>
                <w:sz w:val="21"/>
                <w:szCs w:val="21"/>
                <w:lang w:eastAsia="zh-CN"/>
              </w:rPr>
              <w:t>《财政部 国家税务总局关于房产税城镇土地使用税有关问题的通知》（财税〔2008〕152号）</w:t>
            </w:r>
            <w:r>
              <w:rPr>
                <w:rFonts w:hint="eastAsia" w:ascii="仿宋" w:hAnsi="仿宋" w:eastAsia="仿宋" w:cs="仿宋"/>
                <w:b w:val="0"/>
                <w:bCs w:val="0"/>
                <w:w w:val="70"/>
                <w:sz w:val="21"/>
                <w:szCs w:val="21"/>
                <w:lang w:eastAsia="zh-CN"/>
              </w:rPr>
              <w:br w:type="textWrapping"/>
            </w:r>
            <w:r>
              <w:rPr>
                <w:rFonts w:hint="eastAsia" w:ascii="仿宋" w:hAnsi="仿宋" w:eastAsia="仿宋" w:cs="仿宋"/>
                <w:b w:val="0"/>
                <w:bCs w:val="0"/>
                <w:w w:val="70"/>
                <w:sz w:val="21"/>
                <w:szCs w:val="21"/>
                <w:lang w:eastAsia="zh-CN"/>
              </w:rPr>
              <w:t>《国家税务总局关于通过招拍挂方式取得土地缴纳城镇土地使用税问题的公告》（国家税务总局公告2014年第74号 ）</w:t>
            </w:r>
            <w:r>
              <w:rPr>
                <w:rFonts w:hint="eastAsia" w:ascii="仿宋" w:hAnsi="仿宋" w:eastAsia="仿宋" w:cs="仿宋"/>
                <w:b w:val="0"/>
                <w:bCs w:val="0"/>
                <w:w w:val="70"/>
                <w:sz w:val="21"/>
                <w:szCs w:val="21"/>
                <w:lang w:eastAsia="zh-CN"/>
              </w:rPr>
              <w:br w:type="textWrapping"/>
            </w:r>
            <w:r>
              <w:rPr>
                <w:rFonts w:hint="eastAsia" w:ascii="仿宋" w:hAnsi="仿宋" w:eastAsia="仿宋" w:cs="仿宋"/>
                <w:b w:val="0"/>
                <w:bCs w:val="0"/>
                <w:w w:val="70"/>
                <w:sz w:val="21"/>
                <w:szCs w:val="21"/>
                <w:lang w:eastAsia="zh-CN"/>
              </w:rPr>
              <w:t>《国家税务总局关于做好财产和行为税各税种统一纳税申报表后续工作的通知》（税总发〔2014〕120号）</w:t>
            </w:r>
            <w:r>
              <w:rPr>
                <w:rFonts w:hint="eastAsia" w:ascii="仿宋" w:hAnsi="仿宋" w:eastAsia="仿宋" w:cs="仿宋"/>
                <w:b w:val="0"/>
                <w:bCs w:val="0"/>
                <w:w w:val="70"/>
                <w:sz w:val="21"/>
                <w:szCs w:val="21"/>
                <w:lang w:eastAsia="zh-CN"/>
              </w:rPr>
              <w:br w:type="textWrapping"/>
            </w:r>
            <w:r>
              <w:rPr>
                <w:rFonts w:hint="eastAsia" w:ascii="仿宋" w:hAnsi="仿宋" w:eastAsia="仿宋" w:cs="仿宋"/>
                <w:b w:val="0"/>
                <w:bCs w:val="0"/>
                <w:w w:val="70"/>
                <w:sz w:val="21"/>
                <w:szCs w:val="21"/>
                <w:lang w:eastAsia="zh-CN"/>
              </w:rPr>
              <w:t>《财政部 税务总局关于实施小微企业普惠性税收减免政策的通知》（财税〔2019〕13号）</w:t>
            </w:r>
            <w:r>
              <w:rPr>
                <w:rFonts w:hint="eastAsia" w:ascii="仿宋" w:hAnsi="仿宋" w:eastAsia="仿宋" w:cs="仿宋"/>
                <w:b w:val="0"/>
                <w:bCs w:val="0"/>
                <w:w w:val="70"/>
                <w:sz w:val="21"/>
                <w:szCs w:val="21"/>
                <w:lang w:eastAsia="zh-CN"/>
              </w:rPr>
              <w:br w:type="textWrapping"/>
            </w:r>
            <w:r>
              <w:rPr>
                <w:rFonts w:hint="eastAsia" w:ascii="仿宋" w:hAnsi="仿宋" w:eastAsia="仿宋" w:cs="仿宋"/>
                <w:b w:val="0"/>
                <w:bCs w:val="0"/>
                <w:w w:val="70"/>
                <w:sz w:val="21"/>
                <w:szCs w:val="21"/>
                <w:lang w:eastAsia="zh-CN"/>
              </w:rPr>
              <w:t>《国家税务总局关于增值税小规模纳税人地方税种和相关附加减征政策有关征管问题的公告》（国家税务总局公告2019年第5号）</w:t>
            </w:r>
            <w:r>
              <w:rPr>
                <w:rFonts w:hint="eastAsia" w:ascii="仿宋" w:hAnsi="仿宋" w:eastAsia="仿宋" w:cs="仿宋"/>
                <w:b w:val="0"/>
                <w:bCs w:val="0"/>
                <w:w w:val="70"/>
                <w:sz w:val="21"/>
                <w:szCs w:val="21"/>
                <w:lang w:eastAsia="zh-CN"/>
              </w:rPr>
              <w:br w:type="textWrapping"/>
            </w:r>
            <w:r>
              <w:rPr>
                <w:rFonts w:hint="eastAsia" w:ascii="仿宋" w:hAnsi="仿宋" w:eastAsia="仿宋" w:cs="仿宋"/>
                <w:b w:val="0"/>
                <w:bCs w:val="0"/>
                <w:w w:val="70"/>
                <w:sz w:val="21"/>
                <w:szCs w:val="21"/>
                <w:lang w:eastAsia="zh-CN"/>
              </w:rPr>
              <w:t>《安徽省财政厅 国家税务总局安徽省税务局关于我省小规模纳税人减按50%征收地方税及附加的通知》（财税法〔2019〕119号）</w:t>
            </w:r>
            <w:r>
              <w:rPr>
                <w:rFonts w:hint="eastAsia" w:ascii="仿宋" w:hAnsi="仿宋" w:eastAsia="仿宋" w:cs="仿宋"/>
                <w:b w:val="0"/>
                <w:bCs w:val="0"/>
                <w:w w:val="70"/>
                <w:sz w:val="21"/>
                <w:szCs w:val="21"/>
                <w:lang w:eastAsia="zh-CN"/>
              </w:rPr>
              <w:br w:type="textWrapping"/>
            </w:r>
            <w:r>
              <w:rPr>
                <w:rFonts w:hint="eastAsia" w:ascii="仿宋" w:hAnsi="仿宋" w:eastAsia="仿宋" w:cs="仿宋"/>
                <w:b w:val="0"/>
                <w:bCs w:val="0"/>
                <w:w w:val="70"/>
                <w:sz w:val="21"/>
                <w:szCs w:val="21"/>
                <w:lang w:eastAsia="zh-CN"/>
              </w:rPr>
              <w:t>《国家税务总局关于实施便民办税缴费十条新举措的通知》（税总函〔2019〕223号 ）</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000000" w:sz="2"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保留</w:t>
            </w:r>
          </w:p>
        </w:tc>
        <w:tc>
          <w:tcPr>
            <w:tcW w:w="2159" w:type="dxa"/>
            <w:tcBorders>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00"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tcBorders>
              <w:top w:val="single" w:color="auto" w:sz="4" w:space="0"/>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cs="仿宋" w:eastAsiaTheme="minorEastAsia"/>
                <w:color w:val="auto"/>
                <w:kern w:val="2"/>
                <w:sz w:val="28"/>
                <w:szCs w:val="28"/>
                <w:lang w:val="en-US" w:eastAsia="zh-CN" w:bidi="ar-SA"/>
              </w:rPr>
            </w:pPr>
            <w:r>
              <w:rPr>
                <w:rFonts w:hint="eastAsia" w:ascii="仿宋" w:hAnsi="仿宋" w:cs="仿宋" w:eastAsiaTheme="minorEastAsia"/>
                <w:sz w:val="28"/>
                <w:szCs w:val="28"/>
                <w:lang w:eastAsia="zh-CN"/>
              </w:rPr>
              <w:t>资源税申报</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280" w:firstLineChars="1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val="en-US" w:eastAsia="zh-CN"/>
              </w:rPr>
              <w:t>行政征收</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sz w:val="21"/>
                <w:szCs w:val="21"/>
                <w:lang w:eastAsia="zh-CN"/>
              </w:rPr>
              <w:t>《资源税纳税申报表》，《中外合作及海上自营油气田资源税纳税申报表》</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w w:val="55"/>
                <w:sz w:val="21"/>
                <w:szCs w:val="21"/>
                <w:lang w:eastAsia="zh-CN"/>
              </w:rPr>
              <w:t>《中华人民共和国税收征收管理法》（中华人民共和国主席令第49号）第二十五条第一款</w:t>
            </w:r>
            <w:r>
              <w:rPr>
                <w:rFonts w:hint="eastAsia" w:ascii="仿宋" w:hAnsi="仿宋" w:eastAsia="仿宋" w:cs="仿宋"/>
                <w:b w:val="0"/>
                <w:bCs w:val="0"/>
                <w:w w:val="55"/>
                <w:sz w:val="21"/>
                <w:szCs w:val="21"/>
                <w:lang w:eastAsia="zh-CN"/>
              </w:rPr>
              <w:br w:type="textWrapping"/>
            </w:r>
            <w:r>
              <w:rPr>
                <w:rFonts w:hint="eastAsia" w:ascii="仿宋" w:hAnsi="仿宋" w:eastAsia="仿宋" w:cs="仿宋"/>
                <w:b w:val="0"/>
                <w:bCs w:val="0"/>
                <w:w w:val="55"/>
                <w:sz w:val="21"/>
                <w:szCs w:val="21"/>
                <w:lang w:eastAsia="zh-CN"/>
              </w:rPr>
              <w:t>《中华人民共和国税收征收管理法实施细则》（国务院令第362号）</w:t>
            </w:r>
            <w:r>
              <w:rPr>
                <w:rFonts w:hint="eastAsia" w:ascii="仿宋" w:hAnsi="仿宋" w:eastAsia="仿宋" w:cs="仿宋"/>
                <w:b w:val="0"/>
                <w:bCs w:val="0"/>
                <w:w w:val="55"/>
                <w:sz w:val="21"/>
                <w:szCs w:val="21"/>
                <w:lang w:eastAsia="zh-CN"/>
              </w:rPr>
              <w:br w:type="textWrapping"/>
            </w:r>
            <w:r>
              <w:rPr>
                <w:rFonts w:hint="eastAsia" w:ascii="仿宋" w:hAnsi="仿宋" w:eastAsia="仿宋" w:cs="仿宋"/>
                <w:b w:val="0"/>
                <w:bCs w:val="0"/>
                <w:w w:val="55"/>
                <w:sz w:val="21"/>
                <w:szCs w:val="21"/>
                <w:lang w:eastAsia="zh-CN"/>
              </w:rPr>
              <w:t>《中华人民共和国资源税暂行条例》（国务院令第605号）第一条、第二条</w:t>
            </w:r>
            <w:r>
              <w:rPr>
                <w:rFonts w:hint="eastAsia" w:ascii="仿宋" w:hAnsi="仿宋" w:eastAsia="仿宋" w:cs="仿宋"/>
                <w:b w:val="0"/>
                <w:bCs w:val="0"/>
                <w:w w:val="55"/>
                <w:sz w:val="21"/>
                <w:szCs w:val="21"/>
                <w:lang w:eastAsia="zh-CN"/>
              </w:rPr>
              <w:br w:type="textWrapping"/>
            </w:r>
            <w:r>
              <w:rPr>
                <w:rFonts w:hint="eastAsia" w:ascii="仿宋" w:hAnsi="仿宋" w:eastAsia="仿宋" w:cs="仿宋"/>
                <w:b w:val="0"/>
                <w:bCs w:val="0"/>
                <w:w w:val="55"/>
                <w:sz w:val="21"/>
                <w:szCs w:val="21"/>
                <w:lang w:eastAsia="zh-CN"/>
              </w:rPr>
              <w:t>《中华人民共和国资源税暂行条例实施细则》（中华人民共和国财政部 国家税务总局令第66号）</w:t>
            </w:r>
            <w:r>
              <w:rPr>
                <w:rFonts w:hint="eastAsia" w:ascii="仿宋" w:hAnsi="仿宋" w:eastAsia="仿宋" w:cs="仿宋"/>
                <w:b w:val="0"/>
                <w:bCs w:val="0"/>
                <w:w w:val="55"/>
                <w:sz w:val="21"/>
                <w:szCs w:val="21"/>
                <w:lang w:eastAsia="zh-CN"/>
              </w:rPr>
              <w:br w:type="textWrapping"/>
            </w:r>
            <w:r>
              <w:rPr>
                <w:rFonts w:hint="eastAsia" w:ascii="仿宋" w:hAnsi="仿宋" w:eastAsia="仿宋" w:cs="仿宋"/>
                <w:b w:val="0"/>
                <w:bCs w:val="0"/>
                <w:w w:val="55"/>
                <w:sz w:val="21"/>
                <w:szCs w:val="21"/>
                <w:lang w:eastAsia="zh-CN"/>
              </w:rPr>
              <w:t>《国家税务总局关于发布《中外合作及海上自营油气田资源税纳税申报表》的公告》（国家税务总局公告2012年第3号）</w:t>
            </w:r>
            <w:r>
              <w:rPr>
                <w:rFonts w:hint="eastAsia" w:ascii="仿宋" w:hAnsi="仿宋" w:eastAsia="仿宋" w:cs="仿宋"/>
                <w:b w:val="0"/>
                <w:bCs w:val="0"/>
                <w:w w:val="55"/>
                <w:sz w:val="21"/>
                <w:szCs w:val="21"/>
                <w:lang w:eastAsia="zh-CN"/>
              </w:rPr>
              <w:br w:type="textWrapping"/>
            </w:r>
            <w:r>
              <w:rPr>
                <w:rFonts w:hint="eastAsia" w:ascii="仿宋" w:hAnsi="仿宋" w:eastAsia="仿宋" w:cs="仿宋"/>
                <w:b w:val="0"/>
                <w:bCs w:val="0"/>
                <w:w w:val="55"/>
                <w:sz w:val="21"/>
                <w:szCs w:val="21"/>
                <w:lang w:eastAsia="zh-CN"/>
              </w:rPr>
              <w:t>《财政部 国家税务总局关于实施煤炭资源税改革的通知》（财税〔2014〕72号）</w:t>
            </w:r>
            <w:r>
              <w:rPr>
                <w:rFonts w:hint="eastAsia" w:ascii="仿宋" w:hAnsi="仿宋" w:eastAsia="仿宋" w:cs="仿宋"/>
                <w:b w:val="0"/>
                <w:bCs w:val="0"/>
                <w:w w:val="55"/>
                <w:sz w:val="21"/>
                <w:szCs w:val="21"/>
                <w:lang w:eastAsia="zh-CN"/>
              </w:rPr>
              <w:br w:type="textWrapping"/>
            </w:r>
            <w:r>
              <w:rPr>
                <w:rFonts w:hint="eastAsia" w:ascii="仿宋" w:hAnsi="仿宋" w:eastAsia="仿宋" w:cs="仿宋"/>
                <w:b w:val="0"/>
                <w:bCs w:val="0"/>
                <w:w w:val="55"/>
                <w:sz w:val="21"/>
                <w:szCs w:val="21"/>
                <w:lang w:eastAsia="zh-CN"/>
              </w:rPr>
              <w:t>《财政部 国家税务总局关于调整原油天然气资源税有关政策的通知》（财税〔2014〕73号）</w:t>
            </w:r>
            <w:r>
              <w:rPr>
                <w:rFonts w:hint="eastAsia" w:ascii="仿宋" w:hAnsi="仿宋" w:eastAsia="仿宋" w:cs="仿宋"/>
                <w:b w:val="0"/>
                <w:bCs w:val="0"/>
                <w:w w:val="55"/>
                <w:sz w:val="21"/>
                <w:szCs w:val="21"/>
                <w:lang w:eastAsia="zh-CN"/>
              </w:rPr>
              <w:br w:type="textWrapping"/>
            </w:r>
            <w:r>
              <w:rPr>
                <w:rFonts w:hint="eastAsia" w:ascii="仿宋" w:hAnsi="仿宋" w:eastAsia="仿宋" w:cs="仿宋"/>
                <w:b w:val="0"/>
                <w:bCs w:val="0"/>
                <w:w w:val="55"/>
                <w:sz w:val="21"/>
                <w:szCs w:val="21"/>
                <w:lang w:eastAsia="zh-CN"/>
              </w:rPr>
              <w:t>《财政部 国家税务总局关于实施稀土、钨、钼资源税从价计征改革的通知》（财税〔2015〕52号）</w:t>
            </w:r>
            <w:r>
              <w:rPr>
                <w:rFonts w:hint="eastAsia" w:ascii="仿宋" w:hAnsi="仿宋" w:eastAsia="仿宋" w:cs="仿宋"/>
                <w:b w:val="0"/>
                <w:bCs w:val="0"/>
                <w:w w:val="55"/>
                <w:sz w:val="21"/>
                <w:szCs w:val="21"/>
                <w:lang w:eastAsia="zh-CN"/>
              </w:rPr>
              <w:br w:type="textWrapping"/>
            </w:r>
            <w:r>
              <w:rPr>
                <w:rFonts w:hint="eastAsia" w:ascii="仿宋" w:hAnsi="仿宋" w:eastAsia="仿宋" w:cs="仿宋"/>
                <w:b w:val="0"/>
                <w:bCs w:val="0"/>
                <w:w w:val="55"/>
                <w:sz w:val="21"/>
                <w:szCs w:val="21"/>
                <w:lang w:eastAsia="zh-CN"/>
              </w:rPr>
              <w:t>《国家税务总局关于发布＆lt;煤炭资源税征收管理办法（试行）＆gt;的公告》（国家税务总局公告2015年第51号）</w:t>
            </w:r>
            <w:r>
              <w:rPr>
                <w:rFonts w:hint="eastAsia" w:ascii="仿宋" w:hAnsi="仿宋" w:eastAsia="仿宋" w:cs="仿宋"/>
                <w:b w:val="0"/>
                <w:bCs w:val="0"/>
                <w:w w:val="55"/>
                <w:sz w:val="21"/>
                <w:szCs w:val="21"/>
                <w:lang w:eastAsia="zh-CN"/>
              </w:rPr>
              <w:br w:type="textWrapping"/>
            </w:r>
            <w:r>
              <w:rPr>
                <w:rFonts w:hint="eastAsia" w:ascii="仿宋" w:hAnsi="仿宋" w:eastAsia="仿宋" w:cs="仿宋"/>
                <w:b w:val="0"/>
                <w:bCs w:val="0"/>
                <w:w w:val="55"/>
                <w:sz w:val="21"/>
                <w:szCs w:val="21"/>
                <w:lang w:eastAsia="zh-CN"/>
              </w:rPr>
              <w:t>《财政部 国家税务总局关于全面推进资源税改革的通知》（财税〔2016〕53号）</w:t>
            </w:r>
            <w:r>
              <w:rPr>
                <w:rFonts w:hint="eastAsia" w:ascii="仿宋" w:hAnsi="仿宋" w:eastAsia="仿宋" w:cs="仿宋"/>
                <w:b w:val="0"/>
                <w:bCs w:val="0"/>
                <w:w w:val="55"/>
                <w:sz w:val="21"/>
                <w:szCs w:val="21"/>
                <w:lang w:eastAsia="zh-CN"/>
              </w:rPr>
              <w:br w:type="textWrapping"/>
            </w:r>
            <w:r>
              <w:rPr>
                <w:rFonts w:hint="eastAsia" w:ascii="仿宋" w:hAnsi="仿宋" w:eastAsia="仿宋" w:cs="仿宋"/>
                <w:b w:val="0"/>
                <w:bCs w:val="0"/>
                <w:w w:val="55"/>
                <w:sz w:val="21"/>
                <w:szCs w:val="21"/>
                <w:lang w:eastAsia="zh-CN"/>
              </w:rPr>
              <w:t>《财政部 国家税务总局关于资源税改革具体政策问题的通知》财税〔2016〕54号）</w:t>
            </w:r>
            <w:r>
              <w:rPr>
                <w:rFonts w:hint="eastAsia" w:ascii="仿宋" w:hAnsi="仿宋" w:eastAsia="仿宋" w:cs="仿宋"/>
                <w:b w:val="0"/>
                <w:bCs w:val="0"/>
                <w:w w:val="55"/>
                <w:sz w:val="21"/>
                <w:szCs w:val="21"/>
                <w:lang w:eastAsia="zh-CN"/>
              </w:rPr>
              <w:br w:type="textWrapping"/>
            </w:r>
            <w:r>
              <w:rPr>
                <w:rFonts w:hint="eastAsia" w:ascii="仿宋" w:hAnsi="仿宋" w:eastAsia="仿宋" w:cs="仿宋"/>
                <w:b w:val="0"/>
                <w:bCs w:val="0"/>
                <w:w w:val="55"/>
                <w:sz w:val="21"/>
                <w:szCs w:val="21"/>
                <w:lang w:eastAsia="zh-CN"/>
              </w:rPr>
              <w:t>《国家税务总局 国土资源部关于落实资源税改革优惠政策若干事项的公告 》国家税务总局公告2017年第2号）</w:t>
            </w:r>
            <w:r>
              <w:rPr>
                <w:rFonts w:hint="eastAsia" w:ascii="仿宋" w:hAnsi="仿宋" w:eastAsia="仿宋" w:cs="仿宋"/>
                <w:b w:val="0"/>
                <w:bCs w:val="0"/>
                <w:w w:val="55"/>
                <w:sz w:val="21"/>
                <w:szCs w:val="21"/>
                <w:lang w:eastAsia="zh-CN"/>
              </w:rPr>
              <w:br w:type="textWrapping"/>
            </w:r>
            <w:r>
              <w:rPr>
                <w:rFonts w:hint="eastAsia" w:ascii="仿宋" w:hAnsi="仿宋" w:eastAsia="仿宋" w:cs="仿宋"/>
                <w:b w:val="0"/>
                <w:bCs w:val="0"/>
                <w:w w:val="55"/>
                <w:sz w:val="21"/>
                <w:szCs w:val="21"/>
                <w:lang w:eastAsia="zh-CN"/>
              </w:rPr>
              <w:t>《财政部 税务总局关于对页岩气减征资源税的通知》（财税〔2018〕26号）</w:t>
            </w:r>
            <w:r>
              <w:rPr>
                <w:rFonts w:hint="eastAsia" w:ascii="仿宋" w:hAnsi="仿宋" w:eastAsia="仿宋" w:cs="仿宋"/>
                <w:b w:val="0"/>
                <w:bCs w:val="0"/>
                <w:w w:val="55"/>
                <w:sz w:val="21"/>
                <w:szCs w:val="21"/>
                <w:lang w:eastAsia="zh-CN"/>
              </w:rPr>
              <w:br w:type="textWrapping"/>
            </w:r>
            <w:r>
              <w:rPr>
                <w:rFonts w:hint="eastAsia" w:ascii="仿宋" w:hAnsi="仿宋" w:eastAsia="仿宋" w:cs="仿宋"/>
                <w:b w:val="0"/>
                <w:bCs w:val="0"/>
                <w:w w:val="55"/>
                <w:sz w:val="21"/>
                <w:szCs w:val="21"/>
                <w:lang w:eastAsia="zh-CN"/>
              </w:rPr>
              <w:t>《国家税务总局关于发布＆lt;资源税征收管理规程＆gt;的公告》(国家税务总局公告2018年第13号)</w:t>
            </w:r>
            <w:r>
              <w:rPr>
                <w:rFonts w:hint="eastAsia" w:ascii="仿宋" w:hAnsi="仿宋" w:eastAsia="仿宋" w:cs="仿宋"/>
                <w:b w:val="0"/>
                <w:bCs w:val="0"/>
                <w:w w:val="55"/>
                <w:sz w:val="21"/>
                <w:szCs w:val="21"/>
                <w:lang w:eastAsia="zh-CN"/>
              </w:rPr>
              <w:br w:type="textWrapping"/>
            </w:r>
            <w:r>
              <w:rPr>
                <w:rFonts w:hint="eastAsia" w:ascii="仿宋" w:hAnsi="仿宋" w:eastAsia="仿宋" w:cs="仿宋"/>
                <w:b w:val="0"/>
                <w:bCs w:val="0"/>
                <w:w w:val="55"/>
                <w:sz w:val="21"/>
                <w:szCs w:val="21"/>
                <w:lang w:eastAsia="zh-CN"/>
              </w:rPr>
              <w:t>《财政部 税务总局关于实施小微企业普惠性税收减免政策的通知》（财税〔2019〕13号）</w:t>
            </w:r>
            <w:r>
              <w:rPr>
                <w:rFonts w:hint="eastAsia" w:ascii="仿宋" w:hAnsi="仿宋" w:eastAsia="仿宋" w:cs="仿宋"/>
                <w:b w:val="0"/>
                <w:bCs w:val="0"/>
                <w:w w:val="55"/>
                <w:sz w:val="21"/>
                <w:szCs w:val="21"/>
                <w:lang w:eastAsia="zh-CN"/>
              </w:rPr>
              <w:br w:type="textWrapping"/>
            </w:r>
            <w:r>
              <w:rPr>
                <w:rFonts w:hint="eastAsia" w:ascii="仿宋" w:hAnsi="仿宋" w:eastAsia="仿宋" w:cs="仿宋"/>
                <w:b w:val="0"/>
                <w:bCs w:val="0"/>
                <w:w w:val="55"/>
                <w:sz w:val="21"/>
                <w:szCs w:val="21"/>
                <w:lang w:eastAsia="zh-CN"/>
              </w:rPr>
              <w:t>《国家税务总局关于增值税小规模纳税人地方税种和相关附加减征政策有关征管问题的公告》（国家税务总局公告2019年第5号）</w:t>
            </w:r>
            <w:r>
              <w:rPr>
                <w:rFonts w:hint="eastAsia" w:ascii="仿宋" w:hAnsi="仿宋" w:eastAsia="仿宋" w:cs="仿宋"/>
                <w:b w:val="0"/>
                <w:bCs w:val="0"/>
                <w:w w:val="55"/>
                <w:sz w:val="21"/>
                <w:szCs w:val="21"/>
                <w:lang w:eastAsia="zh-CN"/>
              </w:rPr>
              <w:br w:type="textWrapping"/>
            </w:r>
            <w:r>
              <w:rPr>
                <w:rFonts w:hint="eastAsia" w:ascii="仿宋" w:hAnsi="仿宋" w:eastAsia="仿宋" w:cs="仿宋"/>
                <w:b w:val="0"/>
                <w:bCs w:val="0"/>
                <w:w w:val="55"/>
                <w:sz w:val="21"/>
                <w:szCs w:val="21"/>
                <w:lang w:eastAsia="zh-CN"/>
              </w:rPr>
              <w:t>《安徽省财政厅 安徽省地方税务局关于印发＆lt;安徽省煤炭资源税从价计征实施办法＆gt;的通知》（皖财税法〔2014〕2321号）</w:t>
            </w:r>
            <w:r>
              <w:rPr>
                <w:rFonts w:hint="eastAsia" w:ascii="仿宋" w:hAnsi="仿宋" w:eastAsia="仿宋" w:cs="仿宋"/>
                <w:b w:val="0"/>
                <w:bCs w:val="0"/>
                <w:w w:val="55"/>
                <w:sz w:val="21"/>
                <w:szCs w:val="21"/>
                <w:lang w:eastAsia="zh-CN"/>
              </w:rPr>
              <w:br w:type="textWrapping"/>
            </w:r>
            <w:r>
              <w:rPr>
                <w:rFonts w:hint="eastAsia" w:ascii="仿宋" w:hAnsi="仿宋" w:eastAsia="仿宋" w:cs="仿宋"/>
                <w:b w:val="0"/>
                <w:bCs w:val="0"/>
                <w:w w:val="55"/>
                <w:sz w:val="21"/>
                <w:szCs w:val="21"/>
                <w:lang w:eastAsia="zh-CN"/>
              </w:rPr>
              <w:t>《安徽省财政厅 安徽省地方税务局关于确定洗选煤折算率有关事项的通知》（皖财税法〔2014〕2357号）</w:t>
            </w:r>
            <w:r>
              <w:rPr>
                <w:rFonts w:hint="eastAsia" w:ascii="仿宋" w:hAnsi="仿宋" w:eastAsia="仿宋" w:cs="仿宋"/>
                <w:b w:val="0"/>
                <w:bCs w:val="0"/>
                <w:w w:val="55"/>
                <w:sz w:val="21"/>
                <w:szCs w:val="21"/>
                <w:lang w:eastAsia="zh-CN"/>
              </w:rPr>
              <w:br w:type="textWrapping"/>
            </w:r>
            <w:r>
              <w:rPr>
                <w:rFonts w:hint="eastAsia" w:ascii="仿宋" w:hAnsi="仿宋" w:eastAsia="仿宋" w:cs="仿宋"/>
                <w:b w:val="0"/>
                <w:bCs w:val="0"/>
                <w:w w:val="55"/>
                <w:sz w:val="21"/>
                <w:szCs w:val="21"/>
                <w:lang w:eastAsia="zh-CN"/>
              </w:rPr>
              <w:t>《安徽省财政厅 安徽省地方税务局关于调整皖北煤电集团洗选煤折算率的通知》（皖财税法〔2015〕147号）</w:t>
            </w:r>
            <w:r>
              <w:rPr>
                <w:rFonts w:hint="eastAsia" w:ascii="仿宋" w:hAnsi="仿宋" w:eastAsia="仿宋" w:cs="仿宋"/>
                <w:b w:val="0"/>
                <w:bCs w:val="0"/>
                <w:w w:val="55"/>
                <w:sz w:val="21"/>
                <w:szCs w:val="21"/>
                <w:lang w:eastAsia="zh-CN"/>
              </w:rPr>
              <w:br w:type="textWrapping"/>
            </w:r>
            <w:r>
              <w:rPr>
                <w:rFonts w:hint="eastAsia" w:ascii="仿宋" w:hAnsi="仿宋" w:eastAsia="仿宋" w:cs="仿宋"/>
                <w:b w:val="0"/>
                <w:bCs w:val="0"/>
                <w:w w:val="55"/>
                <w:sz w:val="21"/>
                <w:szCs w:val="21"/>
                <w:lang w:eastAsia="zh-CN"/>
              </w:rPr>
              <w:t>《安徽省财政厅 安徽省地方税务局关于确定资源税换算比折算率的通知》（皖财税法 〔2016〕1036号）</w:t>
            </w:r>
            <w:r>
              <w:rPr>
                <w:rFonts w:hint="eastAsia" w:ascii="仿宋" w:hAnsi="仿宋" w:eastAsia="仿宋" w:cs="仿宋"/>
                <w:b w:val="0"/>
                <w:bCs w:val="0"/>
                <w:w w:val="55"/>
                <w:sz w:val="21"/>
                <w:szCs w:val="21"/>
                <w:lang w:eastAsia="zh-CN"/>
              </w:rPr>
              <w:br w:type="textWrapping"/>
            </w:r>
            <w:r>
              <w:rPr>
                <w:rFonts w:hint="eastAsia" w:ascii="仿宋" w:hAnsi="仿宋" w:eastAsia="仿宋" w:cs="仿宋"/>
                <w:b w:val="0"/>
                <w:bCs w:val="0"/>
                <w:w w:val="55"/>
                <w:sz w:val="21"/>
                <w:szCs w:val="21"/>
                <w:lang w:eastAsia="zh-CN"/>
              </w:rPr>
              <w:t>《安徽省财政厅 安徽省地方税务局关于调整我省资源税税率的通知》（皖财税法 〔2016〕1037号）</w:t>
            </w:r>
            <w:r>
              <w:rPr>
                <w:rFonts w:hint="eastAsia" w:ascii="仿宋" w:hAnsi="仿宋" w:eastAsia="仿宋" w:cs="仿宋"/>
                <w:b w:val="0"/>
                <w:bCs w:val="0"/>
                <w:w w:val="55"/>
                <w:sz w:val="21"/>
                <w:szCs w:val="21"/>
                <w:lang w:eastAsia="zh-CN"/>
              </w:rPr>
              <w:br w:type="textWrapping"/>
            </w:r>
            <w:r>
              <w:rPr>
                <w:rFonts w:hint="eastAsia" w:ascii="仿宋" w:hAnsi="仿宋" w:eastAsia="仿宋" w:cs="仿宋"/>
                <w:b w:val="0"/>
                <w:bCs w:val="0"/>
                <w:w w:val="55"/>
                <w:sz w:val="21"/>
                <w:szCs w:val="21"/>
                <w:lang w:eastAsia="zh-CN"/>
              </w:rPr>
              <w:t>《安徽省地方税务局 安徽省国土资源厅关于明确资源税改革优惠政策有关事项的公告》（安徽省地方税务局 安徽省国土资源厅公告2017年第11号）（《国家税务总局安徽省税务局关于发布修改的税收规范性文件目录的公告》（国家税务总局安徽省税务局公告2018年第3号）对前文进行了修改）</w:t>
            </w:r>
            <w:r>
              <w:rPr>
                <w:rFonts w:hint="eastAsia" w:ascii="仿宋" w:hAnsi="仿宋" w:eastAsia="仿宋" w:cs="仿宋"/>
                <w:b w:val="0"/>
                <w:bCs w:val="0"/>
                <w:w w:val="55"/>
                <w:sz w:val="21"/>
                <w:szCs w:val="21"/>
                <w:lang w:eastAsia="zh-CN"/>
              </w:rPr>
              <w:br w:type="textWrapping"/>
            </w:r>
            <w:r>
              <w:rPr>
                <w:rFonts w:hint="eastAsia" w:ascii="仿宋" w:hAnsi="仿宋" w:eastAsia="仿宋" w:cs="仿宋"/>
                <w:b w:val="0"/>
                <w:bCs w:val="0"/>
                <w:w w:val="55"/>
                <w:sz w:val="21"/>
                <w:szCs w:val="21"/>
                <w:lang w:eastAsia="zh-CN"/>
              </w:rPr>
              <w:t>《国家税务总局安徽省税务局关于发布＆lt;国家税务总局安徽省税务局＆lt;资源税征收管理规程＆gt;实施办法的公告》（国家税务总局安徽省税务局公告2018年第17号）</w:t>
            </w:r>
            <w:r>
              <w:rPr>
                <w:rFonts w:hint="eastAsia" w:ascii="仿宋" w:hAnsi="仿宋" w:eastAsia="仿宋" w:cs="仿宋"/>
                <w:b w:val="0"/>
                <w:bCs w:val="0"/>
                <w:w w:val="55"/>
                <w:sz w:val="21"/>
                <w:szCs w:val="21"/>
                <w:lang w:eastAsia="zh-CN"/>
              </w:rPr>
              <w:br w:type="textWrapping"/>
            </w:r>
            <w:r>
              <w:rPr>
                <w:rFonts w:hint="eastAsia" w:ascii="仿宋" w:hAnsi="仿宋" w:eastAsia="仿宋" w:cs="仿宋"/>
                <w:b w:val="0"/>
                <w:bCs w:val="0"/>
                <w:w w:val="55"/>
                <w:sz w:val="21"/>
                <w:szCs w:val="21"/>
                <w:lang w:eastAsia="zh-CN"/>
              </w:rPr>
              <w:t>《安徽省财政厅 国家税务总局安徽省税务局关于我省小规模纳税人减按50%征收地方税及附加的通知》（皖财税法〔2019〕119号）</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000000" w:sz="2"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tcBorders>
              <w:top w:val="single" w:color="auto" w:sz="4" w:space="0"/>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cs="仿宋" w:eastAsiaTheme="minorEastAsia"/>
                <w:color w:val="auto"/>
                <w:kern w:val="2"/>
                <w:sz w:val="28"/>
                <w:szCs w:val="28"/>
                <w:lang w:val="en-US" w:eastAsia="zh-CN" w:bidi="ar-SA"/>
              </w:rPr>
            </w:pPr>
            <w:r>
              <w:rPr>
                <w:rFonts w:hint="eastAsia" w:ascii="仿宋" w:hAnsi="仿宋" w:cs="仿宋" w:eastAsiaTheme="minorEastAsia"/>
                <w:sz w:val="28"/>
                <w:szCs w:val="28"/>
                <w:lang w:eastAsia="zh-CN"/>
              </w:rPr>
              <w:t>申报错误更正</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280" w:firstLineChars="1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val="en-US" w:eastAsia="zh-CN"/>
              </w:rPr>
              <w:t>公共服务</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sz w:val="21"/>
                <w:szCs w:val="21"/>
                <w:lang w:eastAsia="zh-CN"/>
              </w:rPr>
              <w:t>更正后的相关税（费）种纳税申报表</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sz w:val="21"/>
                <w:szCs w:val="21"/>
                <w:lang w:eastAsia="zh-CN"/>
              </w:rPr>
              <w:t>《中华人民共和国税收征收管理法》第二十五条第一款</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000000" w:sz="2"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trPr>
        <w:tc>
          <w:tcPr>
            <w:tcW w:w="547" w:type="dxa"/>
            <w:tcBorders>
              <w:top w:val="single" w:color="000000" w:sz="2"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tcBorders>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cs="仿宋" w:eastAsiaTheme="minorEastAsia"/>
                <w:color w:val="auto"/>
                <w:kern w:val="2"/>
                <w:sz w:val="28"/>
                <w:szCs w:val="28"/>
                <w:lang w:val="en-US" w:eastAsia="zh-CN" w:bidi="ar-SA"/>
              </w:rPr>
            </w:pPr>
            <w:r>
              <w:rPr>
                <w:rFonts w:hint="eastAsia" w:ascii="仿宋" w:hAnsi="仿宋" w:cs="仿宋" w:eastAsiaTheme="minorEastAsia"/>
                <w:sz w:val="28"/>
                <w:szCs w:val="28"/>
                <w:lang w:eastAsia="zh-CN"/>
              </w:rPr>
              <w:t>环境保护税申报</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280" w:firstLineChars="1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val="en-US" w:eastAsia="zh-CN"/>
              </w:rPr>
              <w:t>行政征收</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sz w:val="21"/>
                <w:szCs w:val="21"/>
                <w:lang w:eastAsia="zh-CN"/>
              </w:rPr>
              <w:t>《环境保护税基础信息采集表》2份，《大气、水污染物基础信息采集表》2份，《固体废物基础信息采集表》2份</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sz w:val="21"/>
                <w:szCs w:val="21"/>
                <w:lang w:eastAsia="zh-CN"/>
              </w:rPr>
              <w:t>《中华人民共和国税收征收管理法》（中华人民共和国主席令第49号）</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《中华人民共和国环境保护税法》（中华人民共和国主席令第61号）</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《中华人民共和国税收征收管理法实施细则》（国务院令第362号）</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《中华人民共和国环境保护税法实施条例》（中华人民共和国国务院令第693号）</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《安徽省地方税务局关于发布＆lt;安徽省地方税纳税申报管理暂行办法＆gt;的公告》（安徽省地方税务局公告2016年第13号）</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《国家税务总局 国家海洋局关于发布〈海洋工程环境保护税申报征收办法〉的公告》（国家税务总局公告2017年第50号）</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《环境保护部关于发布计算污染物排放量的排污系数和物料衡算方法的公告》（环境保护部公告2017年81号）</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《安徽省地方税务局 安徽省环境保护厅关于发布＆lt;安徽省环境保护税核定征收管理办法＆gt;的公告》(2018年第2号)</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《国家税务总局关于发布《环境保护税纳税申报表》的公告》(国家税务总局公告2018年第7号)</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《国家税务总局安徽省税务局 安徽省生态环境厅关于建筑施工和煤炭装卸堆存排放应税大气污染物环境保护税核定计算有关问题的公告》(2018年第22号)</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《财政部 生态环境部 税务总局关于环境保护税有关问题的通知》（财税〔2018〕23号）</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《国家税务总局安徽省税务局 安徽省生态环境厅关于做好环境保护税信息比对和复核管理工作的通知》(皖税发〔2018〕113号)</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《财政部税务总局生态环境部关于明确环境保护税应税污染物适用等有关问题的通知》（财税〔2018〕117号）</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000000" w:sz="2"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保留</w:t>
            </w:r>
          </w:p>
        </w:tc>
        <w:tc>
          <w:tcPr>
            <w:tcW w:w="2159" w:type="dxa"/>
            <w:tcBorders>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trPr>
        <w:tc>
          <w:tcPr>
            <w:tcW w:w="547" w:type="dxa"/>
            <w:tcBorders>
              <w:top w:val="single" w:color="auto" w:sz="4"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tcBorders>
              <w:top w:val="single" w:color="auto" w:sz="4" w:space="0"/>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cs="仿宋" w:eastAsiaTheme="minorEastAsia"/>
                <w:color w:val="auto"/>
                <w:kern w:val="2"/>
                <w:sz w:val="28"/>
                <w:szCs w:val="28"/>
                <w:lang w:val="en-US" w:eastAsia="zh-CN" w:bidi="ar-SA"/>
              </w:rPr>
            </w:pPr>
            <w:r>
              <w:rPr>
                <w:rFonts w:hint="eastAsia" w:ascii="仿宋" w:hAnsi="仿宋" w:cs="仿宋" w:eastAsiaTheme="minorEastAsia"/>
                <w:sz w:val="28"/>
                <w:szCs w:val="28"/>
                <w:lang w:eastAsia="zh-CN"/>
              </w:rPr>
              <w:t>定期定额户自行申报</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280" w:firstLineChars="1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val="en-US" w:eastAsia="zh-CN"/>
              </w:rPr>
              <w:t>行政征收</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sz w:val="21"/>
                <w:szCs w:val="21"/>
                <w:lang w:eastAsia="zh-CN"/>
              </w:rPr>
              <w:t>《定期定额纳税申报表》2份</w:t>
            </w:r>
            <w:r>
              <w:rPr>
                <w:rFonts w:hint="eastAsia" w:ascii="仿宋" w:hAnsi="仿宋" w:eastAsia="仿宋" w:cs="仿宋"/>
                <w:sz w:val="21"/>
                <w:szCs w:val="21"/>
                <w:lang w:val="en-US" w:eastAsia="zh-CN"/>
              </w:rPr>
              <w:t>,其他</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w w:val="80"/>
                <w:kern w:val="2"/>
                <w:sz w:val="21"/>
                <w:szCs w:val="21"/>
                <w:lang w:val="en-US" w:eastAsia="zh-CN" w:bidi="ar-SA"/>
              </w:rPr>
            </w:pPr>
            <w:r>
              <w:rPr>
                <w:rFonts w:hint="eastAsia" w:ascii="仿宋" w:hAnsi="仿宋" w:eastAsia="仿宋" w:cs="仿宋"/>
                <w:b w:val="0"/>
                <w:bCs w:val="0"/>
                <w:w w:val="80"/>
                <w:sz w:val="21"/>
                <w:szCs w:val="21"/>
                <w:lang w:eastAsia="zh-CN"/>
              </w:rPr>
              <w:t>《中华人民共和国税收征收管理法》（中华人民共和国主席令第49号）第二十五条第一款</w:t>
            </w:r>
            <w:r>
              <w:rPr>
                <w:rFonts w:hint="eastAsia" w:ascii="仿宋" w:hAnsi="仿宋" w:eastAsia="仿宋" w:cs="仿宋"/>
                <w:b w:val="0"/>
                <w:bCs w:val="0"/>
                <w:w w:val="80"/>
                <w:sz w:val="21"/>
                <w:szCs w:val="21"/>
                <w:lang w:eastAsia="zh-CN"/>
              </w:rPr>
              <w:br w:type="textWrapping"/>
            </w:r>
            <w:r>
              <w:rPr>
                <w:rFonts w:hint="eastAsia" w:ascii="仿宋" w:hAnsi="仿宋" w:eastAsia="仿宋" w:cs="仿宋"/>
                <w:b w:val="0"/>
                <w:bCs w:val="0"/>
                <w:w w:val="80"/>
                <w:sz w:val="21"/>
                <w:szCs w:val="21"/>
                <w:lang w:eastAsia="zh-CN"/>
              </w:rPr>
              <w:t>《中华人民共和国税收征收管理法实施细则》（国务院令第362号）</w:t>
            </w:r>
            <w:r>
              <w:rPr>
                <w:rFonts w:hint="eastAsia" w:ascii="仿宋" w:hAnsi="仿宋" w:eastAsia="仿宋" w:cs="仿宋"/>
                <w:b w:val="0"/>
                <w:bCs w:val="0"/>
                <w:w w:val="80"/>
                <w:sz w:val="21"/>
                <w:szCs w:val="21"/>
                <w:lang w:eastAsia="zh-CN"/>
              </w:rPr>
              <w:br w:type="textWrapping"/>
            </w:r>
            <w:r>
              <w:rPr>
                <w:rFonts w:hint="eastAsia" w:ascii="仿宋" w:hAnsi="仿宋" w:eastAsia="仿宋" w:cs="仿宋"/>
                <w:b w:val="0"/>
                <w:bCs w:val="0"/>
                <w:w w:val="80"/>
                <w:sz w:val="21"/>
                <w:szCs w:val="21"/>
                <w:lang w:eastAsia="zh-CN"/>
              </w:rPr>
              <w:t>《中华人民共和国消费税暂行条例》（国务院令2008年第539号）</w:t>
            </w:r>
            <w:r>
              <w:rPr>
                <w:rFonts w:hint="eastAsia" w:ascii="仿宋" w:hAnsi="仿宋" w:eastAsia="仿宋" w:cs="仿宋"/>
                <w:b w:val="0"/>
                <w:bCs w:val="0"/>
                <w:w w:val="80"/>
                <w:sz w:val="21"/>
                <w:szCs w:val="21"/>
                <w:lang w:eastAsia="zh-CN"/>
              </w:rPr>
              <w:br w:type="textWrapping"/>
            </w:r>
            <w:r>
              <w:rPr>
                <w:rFonts w:hint="eastAsia" w:ascii="仿宋" w:hAnsi="仿宋" w:eastAsia="仿宋" w:cs="仿宋"/>
                <w:b w:val="0"/>
                <w:bCs w:val="0"/>
                <w:w w:val="80"/>
                <w:sz w:val="21"/>
                <w:szCs w:val="21"/>
                <w:lang w:eastAsia="zh-CN"/>
              </w:rPr>
              <w:t>《中华人民共和国增值税暂行条例实施细则》（财政部令第50号）</w:t>
            </w:r>
            <w:r>
              <w:rPr>
                <w:rFonts w:hint="eastAsia" w:ascii="仿宋" w:hAnsi="仿宋" w:eastAsia="仿宋" w:cs="仿宋"/>
                <w:b w:val="0"/>
                <w:bCs w:val="0"/>
                <w:w w:val="80"/>
                <w:sz w:val="21"/>
                <w:szCs w:val="21"/>
                <w:lang w:eastAsia="zh-CN"/>
              </w:rPr>
              <w:br w:type="textWrapping"/>
            </w:r>
            <w:r>
              <w:rPr>
                <w:rFonts w:hint="eastAsia" w:ascii="仿宋" w:hAnsi="仿宋" w:eastAsia="仿宋" w:cs="仿宋"/>
                <w:b w:val="0"/>
                <w:bCs w:val="0"/>
                <w:w w:val="80"/>
                <w:sz w:val="21"/>
                <w:szCs w:val="21"/>
                <w:lang w:eastAsia="zh-CN"/>
              </w:rPr>
              <w:t>《中华人民共和国消费税暂行条例实施细则》（财政部令第51号）</w:t>
            </w:r>
            <w:r>
              <w:rPr>
                <w:rFonts w:hint="eastAsia" w:ascii="仿宋" w:hAnsi="仿宋" w:eastAsia="仿宋" w:cs="仿宋"/>
                <w:b w:val="0"/>
                <w:bCs w:val="0"/>
                <w:w w:val="80"/>
                <w:sz w:val="21"/>
                <w:szCs w:val="21"/>
                <w:lang w:eastAsia="zh-CN"/>
              </w:rPr>
              <w:br w:type="textWrapping"/>
            </w:r>
            <w:r>
              <w:rPr>
                <w:rFonts w:hint="eastAsia" w:ascii="仿宋" w:hAnsi="仿宋" w:eastAsia="仿宋" w:cs="仿宋"/>
                <w:b w:val="0"/>
                <w:bCs w:val="0"/>
                <w:w w:val="80"/>
                <w:sz w:val="21"/>
                <w:szCs w:val="21"/>
                <w:lang w:eastAsia="zh-CN"/>
              </w:rPr>
              <w:t>《中华人民共和国税收征收管理法》（中华人民共和国主席令第49号）</w:t>
            </w:r>
            <w:r>
              <w:rPr>
                <w:rFonts w:hint="eastAsia" w:ascii="仿宋" w:hAnsi="仿宋" w:eastAsia="仿宋" w:cs="仿宋"/>
                <w:b w:val="0"/>
                <w:bCs w:val="0"/>
                <w:w w:val="80"/>
                <w:sz w:val="21"/>
                <w:szCs w:val="21"/>
                <w:lang w:eastAsia="zh-CN"/>
              </w:rPr>
              <w:br w:type="textWrapping"/>
            </w:r>
            <w:r>
              <w:rPr>
                <w:rFonts w:hint="eastAsia" w:ascii="仿宋" w:hAnsi="仿宋" w:eastAsia="仿宋" w:cs="仿宋"/>
                <w:b w:val="0"/>
                <w:bCs w:val="0"/>
                <w:w w:val="80"/>
                <w:sz w:val="21"/>
                <w:szCs w:val="21"/>
                <w:lang w:eastAsia="zh-CN"/>
              </w:rPr>
              <w:t>《个体工商户税收定期定额征收管理办法》（国家税务总局令第16号）</w:t>
            </w:r>
            <w:r>
              <w:rPr>
                <w:rFonts w:hint="eastAsia" w:ascii="仿宋" w:hAnsi="仿宋" w:eastAsia="仿宋" w:cs="仿宋"/>
                <w:b w:val="0"/>
                <w:bCs w:val="0"/>
                <w:w w:val="80"/>
                <w:sz w:val="21"/>
                <w:szCs w:val="21"/>
                <w:lang w:eastAsia="zh-CN"/>
              </w:rPr>
              <w:br w:type="textWrapping"/>
            </w:r>
            <w:r>
              <w:rPr>
                <w:rFonts w:hint="eastAsia" w:ascii="仿宋" w:hAnsi="仿宋" w:eastAsia="仿宋" w:cs="仿宋"/>
                <w:b w:val="0"/>
                <w:bCs w:val="0"/>
                <w:w w:val="80"/>
                <w:sz w:val="21"/>
                <w:szCs w:val="21"/>
                <w:lang w:eastAsia="zh-CN"/>
              </w:rPr>
              <w:t>《国家税务总局关于个体工商户定期定额征收管理有关问题的通知》（国税发〔2006〕 183 号）</w:t>
            </w:r>
            <w:r>
              <w:rPr>
                <w:rFonts w:hint="eastAsia" w:ascii="仿宋" w:hAnsi="仿宋" w:eastAsia="仿宋" w:cs="仿宋"/>
                <w:b w:val="0"/>
                <w:bCs w:val="0"/>
                <w:w w:val="80"/>
                <w:sz w:val="21"/>
                <w:szCs w:val="21"/>
                <w:lang w:eastAsia="zh-CN"/>
              </w:rPr>
              <w:br w:type="textWrapping"/>
            </w:r>
            <w:r>
              <w:rPr>
                <w:rFonts w:hint="eastAsia" w:ascii="仿宋" w:hAnsi="仿宋" w:eastAsia="仿宋" w:cs="仿宋"/>
                <w:b w:val="0"/>
                <w:bCs w:val="0"/>
                <w:w w:val="80"/>
                <w:sz w:val="21"/>
                <w:szCs w:val="21"/>
                <w:lang w:eastAsia="zh-CN"/>
              </w:rPr>
              <w:t>《国家税务总局安徽省税务局关于明确个体工商户税收定期定额征收管理有关事项的公告》（国家税务总局安徽省税务局公告2018年第14号）</w:t>
            </w:r>
            <w:r>
              <w:rPr>
                <w:rFonts w:hint="eastAsia" w:ascii="仿宋" w:hAnsi="仿宋" w:eastAsia="仿宋" w:cs="仿宋"/>
                <w:b w:val="0"/>
                <w:bCs w:val="0"/>
                <w:w w:val="80"/>
                <w:sz w:val="21"/>
                <w:szCs w:val="21"/>
                <w:lang w:eastAsia="zh-CN"/>
              </w:rPr>
              <w:br w:type="textWrapping"/>
            </w:r>
            <w:r>
              <w:rPr>
                <w:rFonts w:hint="eastAsia" w:ascii="仿宋" w:hAnsi="仿宋" w:eastAsia="仿宋" w:cs="仿宋"/>
                <w:b w:val="0"/>
                <w:bCs w:val="0"/>
                <w:w w:val="80"/>
                <w:sz w:val="21"/>
                <w:szCs w:val="21"/>
                <w:lang w:eastAsia="zh-CN"/>
              </w:rPr>
              <w:t>《财政部 税务总局关于实施小微企业普惠性税收减免政策的通知》（财税〔2019〕13号）</w:t>
            </w:r>
            <w:r>
              <w:rPr>
                <w:rFonts w:hint="eastAsia" w:ascii="仿宋" w:hAnsi="仿宋" w:eastAsia="仿宋" w:cs="仿宋"/>
                <w:b w:val="0"/>
                <w:bCs w:val="0"/>
                <w:w w:val="80"/>
                <w:sz w:val="21"/>
                <w:szCs w:val="21"/>
                <w:lang w:eastAsia="zh-CN"/>
              </w:rPr>
              <w:br w:type="textWrapping"/>
            </w:r>
            <w:r>
              <w:rPr>
                <w:rFonts w:hint="eastAsia" w:ascii="仿宋" w:hAnsi="仿宋" w:eastAsia="仿宋" w:cs="仿宋"/>
                <w:b w:val="0"/>
                <w:bCs w:val="0"/>
                <w:w w:val="80"/>
                <w:sz w:val="21"/>
                <w:szCs w:val="21"/>
                <w:lang w:eastAsia="zh-CN"/>
              </w:rPr>
              <w:t>《国家税务总局关于增值税小规模纳税人地方税种和相关附加减征政策有关征管问题的公告》（国家税务总局公告2019年第5号）</w:t>
            </w:r>
            <w:r>
              <w:rPr>
                <w:rFonts w:hint="eastAsia" w:ascii="仿宋" w:hAnsi="仿宋" w:eastAsia="仿宋" w:cs="仿宋"/>
                <w:b w:val="0"/>
                <w:bCs w:val="0"/>
                <w:w w:val="80"/>
                <w:sz w:val="21"/>
                <w:szCs w:val="21"/>
                <w:lang w:eastAsia="zh-CN"/>
              </w:rPr>
              <w:br w:type="textWrapping"/>
            </w:r>
            <w:r>
              <w:rPr>
                <w:rFonts w:hint="eastAsia" w:ascii="仿宋" w:hAnsi="仿宋" w:eastAsia="仿宋" w:cs="仿宋"/>
                <w:b w:val="0"/>
                <w:bCs w:val="0"/>
                <w:w w:val="80"/>
                <w:sz w:val="21"/>
                <w:szCs w:val="21"/>
                <w:lang w:eastAsia="zh-CN"/>
              </w:rPr>
              <w:t>《安徽省财政厅 国家税务总局安徽省税务局关于我省小规模纳税人减按50%征收地方税及附加的通知》（财税法〔2019〕119号）</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000000" w:sz="2" w:space="0"/>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保留</w:t>
            </w:r>
          </w:p>
        </w:tc>
        <w:tc>
          <w:tcPr>
            <w:tcW w:w="2159" w:type="dxa"/>
            <w:tcBorders>
              <w:top w:val="single" w:color="auto" w:sz="4" w:space="0"/>
              <w:left w:val="single" w:color="auto" w:sz="4"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6"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tcBorders>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cs="仿宋" w:eastAsiaTheme="minorEastAsia"/>
                <w:color w:val="auto"/>
                <w:kern w:val="2"/>
                <w:sz w:val="28"/>
                <w:szCs w:val="28"/>
                <w:lang w:val="en-US" w:eastAsia="zh-CN" w:bidi="ar-SA"/>
              </w:rPr>
            </w:pPr>
            <w:r>
              <w:rPr>
                <w:rFonts w:hint="eastAsia" w:ascii="仿宋" w:hAnsi="仿宋" w:cs="仿宋" w:eastAsiaTheme="minorEastAsia"/>
                <w:sz w:val="28"/>
                <w:szCs w:val="28"/>
                <w:lang w:eastAsia="zh-CN"/>
              </w:rPr>
              <w:t>误收多缴退抵税</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280" w:firstLineChars="1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val="en-US" w:eastAsia="zh-CN"/>
              </w:rPr>
              <w:t>行政征收</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sz w:val="21"/>
                <w:szCs w:val="21"/>
                <w:lang w:eastAsia="zh-CN"/>
              </w:rPr>
              <w:t>《退（抵）税申请表》，税务机关认可的多缴税费证明材料</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w w:val="80"/>
                <w:kern w:val="2"/>
                <w:sz w:val="21"/>
                <w:szCs w:val="21"/>
                <w:lang w:val="en-US" w:eastAsia="zh-CN" w:bidi="ar-SA"/>
              </w:rPr>
            </w:pPr>
            <w:r>
              <w:rPr>
                <w:rFonts w:hint="eastAsia" w:ascii="仿宋" w:hAnsi="仿宋" w:eastAsia="仿宋" w:cs="仿宋"/>
                <w:b w:val="0"/>
                <w:bCs w:val="0"/>
                <w:w w:val="80"/>
                <w:sz w:val="21"/>
                <w:szCs w:val="21"/>
                <w:lang w:eastAsia="zh-CN"/>
              </w:rPr>
              <w:t>《中华人民共和国税收征收管理法》第五十一条 《中华人民共和国税收征收管理法实施细则》第七十八条、第七十九条</w:t>
            </w:r>
            <w:r>
              <w:rPr>
                <w:rFonts w:hint="eastAsia" w:ascii="仿宋" w:hAnsi="仿宋" w:eastAsia="仿宋" w:cs="仿宋"/>
                <w:b w:val="0"/>
                <w:bCs w:val="0"/>
                <w:w w:val="80"/>
                <w:sz w:val="21"/>
                <w:szCs w:val="21"/>
                <w:lang w:eastAsia="zh-CN"/>
              </w:rPr>
              <w:br w:type="textWrapping"/>
            </w:r>
            <w:r>
              <w:rPr>
                <w:rFonts w:hint="eastAsia" w:ascii="仿宋" w:hAnsi="仿宋" w:eastAsia="仿宋" w:cs="仿宋"/>
                <w:b w:val="0"/>
                <w:bCs w:val="0"/>
                <w:w w:val="80"/>
                <w:sz w:val="21"/>
                <w:szCs w:val="21"/>
                <w:lang w:eastAsia="zh-CN"/>
              </w:rPr>
              <w:t>《税收票证管理办法》（国家税务总局令第28号）</w:t>
            </w:r>
            <w:r>
              <w:rPr>
                <w:rFonts w:hint="eastAsia" w:ascii="仿宋" w:hAnsi="仿宋" w:eastAsia="仿宋" w:cs="仿宋"/>
                <w:b w:val="0"/>
                <w:bCs w:val="0"/>
                <w:w w:val="80"/>
                <w:sz w:val="21"/>
                <w:szCs w:val="21"/>
                <w:lang w:eastAsia="zh-CN"/>
              </w:rPr>
              <w:br w:type="textWrapping"/>
            </w:r>
            <w:r>
              <w:rPr>
                <w:rFonts w:hint="eastAsia" w:ascii="仿宋" w:hAnsi="仿宋" w:eastAsia="仿宋" w:cs="仿宋"/>
                <w:b w:val="0"/>
                <w:bCs w:val="0"/>
                <w:w w:val="80"/>
                <w:sz w:val="21"/>
                <w:szCs w:val="21"/>
                <w:lang w:eastAsia="zh-CN"/>
              </w:rPr>
              <w:t>《税款缴库退库工作规程》（国家税务总局令第31号）</w:t>
            </w:r>
            <w:r>
              <w:rPr>
                <w:rFonts w:hint="eastAsia" w:ascii="仿宋" w:hAnsi="仿宋" w:eastAsia="仿宋" w:cs="仿宋"/>
                <w:b w:val="0"/>
                <w:bCs w:val="0"/>
                <w:w w:val="80"/>
                <w:sz w:val="21"/>
                <w:szCs w:val="21"/>
                <w:lang w:eastAsia="zh-CN"/>
              </w:rPr>
              <w:br w:type="textWrapping"/>
            </w:r>
            <w:r>
              <w:rPr>
                <w:rFonts w:hint="eastAsia" w:ascii="仿宋" w:hAnsi="仿宋" w:eastAsia="仿宋" w:cs="仿宋"/>
                <w:b w:val="0"/>
                <w:bCs w:val="0"/>
                <w:w w:val="80"/>
                <w:sz w:val="21"/>
                <w:szCs w:val="21"/>
                <w:lang w:eastAsia="zh-CN"/>
              </w:rPr>
              <w:t>《财政部 国家税务总局 中国人民银行关于纳税人多缴税款及应付利息办理退库的通知》（财预〔2001〕502号）</w:t>
            </w:r>
            <w:r>
              <w:rPr>
                <w:rFonts w:hint="eastAsia" w:ascii="仿宋" w:hAnsi="仿宋" w:eastAsia="仿宋" w:cs="仿宋"/>
                <w:b w:val="0"/>
                <w:bCs w:val="0"/>
                <w:w w:val="80"/>
                <w:sz w:val="21"/>
                <w:szCs w:val="21"/>
                <w:lang w:eastAsia="zh-CN"/>
              </w:rPr>
              <w:br w:type="textWrapping"/>
            </w:r>
            <w:r>
              <w:rPr>
                <w:rFonts w:hint="eastAsia" w:ascii="仿宋" w:hAnsi="仿宋" w:eastAsia="仿宋" w:cs="仿宋"/>
                <w:b w:val="0"/>
                <w:bCs w:val="0"/>
                <w:w w:val="80"/>
                <w:sz w:val="21"/>
                <w:szCs w:val="21"/>
                <w:lang w:eastAsia="zh-CN"/>
              </w:rPr>
              <w:t>《国家税务总局关于应退税款抵扣欠缴税款有关问题的通知》（国税发〔2002〕150号）</w:t>
            </w:r>
            <w:r>
              <w:rPr>
                <w:rFonts w:hint="eastAsia" w:ascii="仿宋" w:hAnsi="仿宋" w:eastAsia="仿宋" w:cs="仿宋"/>
                <w:b w:val="0"/>
                <w:bCs w:val="0"/>
                <w:w w:val="80"/>
                <w:sz w:val="21"/>
                <w:szCs w:val="21"/>
                <w:lang w:eastAsia="zh-CN"/>
              </w:rPr>
              <w:br w:type="textWrapping"/>
            </w:r>
            <w:r>
              <w:rPr>
                <w:rFonts w:hint="eastAsia" w:ascii="仿宋" w:hAnsi="仿宋" w:eastAsia="仿宋" w:cs="仿宋"/>
                <w:b w:val="0"/>
                <w:bCs w:val="0"/>
                <w:w w:val="80"/>
                <w:sz w:val="21"/>
                <w:szCs w:val="21"/>
                <w:lang w:eastAsia="zh-CN"/>
              </w:rPr>
              <w:t>《国家税务总局 财政部 中国人民银行关于纳税人多缴税款退付利息的范围及退库程序的批复》（国税函〔2002〕566号）</w:t>
            </w:r>
            <w:r>
              <w:rPr>
                <w:rFonts w:hint="eastAsia" w:ascii="仿宋" w:hAnsi="仿宋" w:eastAsia="仿宋" w:cs="仿宋"/>
                <w:b w:val="0"/>
                <w:bCs w:val="0"/>
                <w:w w:val="80"/>
                <w:sz w:val="21"/>
                <w:szCs w:val="21"/>
                <w:lang w:eastAsia="zh-CN"/>
              </w:rPr>
              <w:br w:type="textWrapping"/>
            </w:r>
            <w:r>
              <w:rPr>
                <w:rFonts w:hint="eastAsia" w:ascii="仿宋" w:hAnsi="仿宋" w:eastAsia="仿宋" w:cs="仿宋"/>
                <w:b w:val="0"/>
                <w:bCs w:val="0"/>
                <w:w w:val="80"/>
                <w:sz w:val="21"/>
                <w:szCs w:val="21"/>
                <w:lang w:eastAsia="zh-CN"/>
              </w:rPr>
              <w:t>《国家税务总局关于实施〈税收票证管理办法〉若干问题的公告》（国家税务总局公告2013年第34号）</w:t>
            </w:r>
            <w:r>
              <w:rPr>
                <w:rFonts w:hint="eastAsia" w:ascii="仿宋" w:hAnsi="仿宋" w:eastAsia="仿宋" w:cs="仿宋"/>
                <w:b w:val="0"/>
                <w:bCs w:val="0"/>
                <w:w w:val="80"/>
                <w:sz w:val="21"/>
                <w:szCs w:val="21"/>
                <w:lang w:eastAsia="zh-CN"/>
              </w:rPr>
              <w:br w:type="textWrapping"/>
            </w:r>
            <w:r>
              <w:rPr>
                <w:rFonts w:hint="eastAsia" w:ascii="仿宋" w:hAnsi="仿宋" w:eastAsia="仿宋" w:cs="仿宋"/>
                <w:b w:val="0"/>
                <w:bCs w:val="0"/>
                <w:w w:val="80"/>
                <w:sz w:val="21"/>
                <w:szCs w:val="21"/>
                <w:lang w:eastAsia="zh-CN"/>
              </w:rPr>
              <w:t>《国家税务总局 关于国内旅客运输服务进项税抵扣等增值税征管问题的公告》（国家税务总局公告2019年第31号）</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000000" w:sz="2"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保留</w:t>
            </w:r>
          </w:p>
        </w:tc>
        <w:tc>
          <w:tcPr>
            <w:tcW w:w="2159" w:type="dxa"/>
            <w:tcBorders>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53" w:hRule="atLeast"/>
        </w:trPr>
        <w:tc>
          <w:tcPr>
            <w:tcW w:w="547" w:type="dxa"/>
            <w:tcBorders>
              <w:top w:val="single" w:color="000000" w:sz="2"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tcBorders>
              <w:top w:val="single" w:color="auto" w:sz="4" w:space="0"/>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cs="仿宋" w:eastAsiaTheme="minorEastAsia"/>
                <w:color w:val="auto"/>
                <w:kern w:val="2"/>
                <w:sz w:val="28"/>
                <w:szCs w:val="28"/>
                <w:lang w:val="en-US" w:eastAsia="zh-CN" w:bidi="ar-SA"/>
              </w:rPr>
            </w:pPr>
            <w:r>
              <w:rPr>
                <w:rFonts w:hint="eastAsia" w:ascii="仿宋" w:hAnsi="仿宋" w:cs="仿宋" w:eastAsiaTheme="minorEastAsia"/>
                <w:sz w:val="28"/>
                <w:szCs w:val="28"/>
                <w:lang w:eastAsia="zh-CN"/>
              </w:rPr>
              <w:t>出口货物劳务免退税申报</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280" w:firstLineChars="1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val="en-US" w:eastAsia="zh-CN"/>
              </w:rPr>
              <w:t>行政征收</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sz w:val="21"/>
                <w:szCs w:val="21"/>
                <w:lang w:eastAsia="zh-CN"/>
              </w:rPr>
              <w:t>出口货物退（免）税申报电子数据，《外贸企业出口退税进货明细申报表》，《外贸企业出口退税出口明细申报表》，《外贸企业出口退税汇总申报表》，增值税专用发票抵扣联或海关进口增值税专用缴款书，代理出口协议以及受托方主管税务机关签发的代理出口货物证明，《出口货物收汇申报表》及收汇凭证复印件，《出口货物不能收汇申报表》及对应证明材料，《海关出口商品代码、名称、退税率调整对应表》及电子数据，消费税专用缴款书或分割单、海关进口消费税专用缴款书，对外承包工程合同复印件，出口企业如属于分包单位的，应补充提供分包合同（协议）复印件，商务部及授权单位批准其在境外投资的文件副本复印件，境外带料加工装配企业批准证书复印件</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sz w:val="21"/>
                <w:szCs w:val="21"/>
                <w:lang w:eastAsia="zh-CN"/>
              </w:rPr>
              <w:t>1.《国家税务总局关于发布〈出口货物劳务增值税和消费税管理办法〉的公告》（国家税务总局公告2012年第24号）第五条、第六条、第七条</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2.《国家税务总局关于发布〈横琴、平潭开发有关增值税和消费税退税管理办法（试行）〉的公告》（国家税务总局2014年第70号公告）第五条、第六条</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trPr>
        <w:tc>
          <w:tcPr>
            <w:tcW w:w="547" w:type="dxa"/>
            <w:tcBorders>
              <w:top w:val="single" w:color="auto" w:sz="4"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tcBorders>
              <w:top w:val="single" w:color="auto" w:sz="4" w:space="0"/>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cs="仿宋" w:eastAsiaTheme="minorEastAsia"/>
                <w:color w:val="auto"/>
                <w:kern w:val="2"/>
                <w:sz w:val="28"/>
                <w:szCs w:val="28"/>
                <w:lang w:val="en-US" w:eastAsia="zh-CN" w:bidi="ar-SA"/>
              </w:rPr>
            </w:pPr>
            <w:r>
              <w:rPr>
                <w:rFonts w:hint="eastAsia" w:ascii="仿宋" w:hAnsi="仿宋" w:cs="仿宋" w:eastAsiaTheme="minorEastAsia"/>
                <w:sz w:val="28"/>
                <w:szCs w:val="28"/>
                <w:lang w:eastAsia="zh-CN"/>
              </w:rPr>
              <w:t>出口货物劳务免抵退税申报</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280" w:firstLineChars="1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val="en-US" w:eastAsia="zh-CN"/>
              </w:rPr>
              <w:t>行政征收</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sz w:val="21"/>
                <w:szCs w:val="21"/>
                <w:lang w:eastAsia="zh-CN"/>
              </w:rPr>
              <w:t>出口货物退（免）税申报电子数据，《免抵退税申报汇总表》，《免抵退税申报汇总表附表》，《生产企业出口货物免、抵、退税申报明细表》，《免抵退税申报资料情况表》，出口发票</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sz w:val="21"/>
                <w:szCs w:val="21"/>
                <w:lang w:eastAsia="zh-CN"/>
              </w:rPr>
              <w:t>1.《国家税务总局关于发布〈出口货物劳务增值税和消费税管理办法〉的公告》（国家税务总局公告2012年第24号）第四条、第六条、第七条</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2.《国家税务总局关于〈出口货物劳务增值税和消费税管理办法〉有关问题的公告》（国家税务总局公告2013年第12号）第二条第（十）项第1目</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3.《国家税务总局关于出口退（免）税有关问题的公告》（国家税务总局公告2015年第29号）第六条</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tcBorders>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cs="仿宋" w:eastAsiaTheme="minorEastAsia"/>
                <w:color w:val="auto"/>
                <w:kern w:val="2"/>
                <w:sz w:val="28"/>
                <w:szCs w:val="28"/>
                <w:lang w:val="en-US" w:eastAsia="zh-CN" w:bidi="ar-SA"/>
              </w:rPr>
            </w:pPr>
            <w:r>
              <w:rPr>
                <w:rFonts w:hint="eastAsia" w:ascii="仿宋" w:hAnsi="仿宋" w:cs="仿宋" w:eastAsiaTheme="minorEastAsia"/>
                <w:sz w:val="28"/>
                <w:szCs w:val="28"/>
                <w:lang w:eastAsia="zh-CN"/>
              </w:rPr>
              <w:t>购进自用货物免退税申报</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280" w:firstLineChars="1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val="en-US" w:eastAsia="zh-CN"/>
              </w:rPr>
              <w:t>行政征收</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sz w:val="21"/>
                <w:szCs w:val="21"/>
                <w:lang w:eastAsia="zh-CN"/>
              </w:rPr>
              <w:t>《购进自用货物退税申报表》及电子数据，增值税专用发票（抵扣联），加盖银行印章的支付水、电、气费用的银行结算凭证，采购国产设备合同复印件</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sz w:val="21"/>
                <w:szCs w:val="21"/>
                <w:lang w:eastAsia="zh-CN"/>
              </w:rPr>
              <w:t>《国家税务总局关于发布〈出口货物劳务增值税和消费税管理办法〉的公告》（国家税务总局公告2012年第24号）第七条第（一）项</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000000" w:sz="2"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保留</w:t>
            </w:r>
          </w:p>
        </w:tc>
        <w:tc>
          <w:tcPr>
            <w:tcW w:w="2159" w:type="dxa"/>
            <w:tcBorders>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tcBorders>
              <w:top w:val="single" w:color="auto" w:sz="4" w:space="0"/>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cs="仿宋" w:eastAsiaTheme="minorEastAsia"/>
                <w:color w:val="auto"/>
                <w:kern w:val="2"/>
                <w:sz w:val="28"/>
                <w:szCs w:val="28"/>
                <w:lang w:val="en-US" w:eastAsia="zh-CN" w:bidi="ar-SA"/>
              </w:rPr>
            </w:pPr>
            <w:r>
              <w:rPr>
                <w:rFonts w:hint="eastAsia" w:ascii="仿宋" w:hAnsi="仿宋" w:cs="仿宋" w:eastAsiaTheme="minorEastAsia"/>
                <w:sz w:val="28"/>
                <w:szCs w:val="28"/>
                <w:lang w:eastAsia="zh-CN"/>
              </w:rPr>
              <w:t>出口退（免）税延期申报</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280" w:firstLineChars="1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val="en-US" w:eastAsia="zh-CN"/>
              </w:rPr>
              <w:t>行政征收</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sz w:val="21"/>
                <w:szCs w:val="21"/>
                <w:lang w:eastAsia="zh-CN"/>
              </w:rPr>
              <w:t>《出口退（免）税延期申报申请表》及电子数据，造成在规定期限内未收齐单证原因的举证材料</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sz w:val="21"/>
                <w:szCs w:val="21"/>
                <w:lang w:eastAsia="zh-CN"/>
              </w:rPr>
              <w:t>《国家税务总局关于出口退（免）税申报有关问题的公告》（国家税务总局公告2018年第16号）第七条</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tcBorders>
              <w:top w:val="single" w:color="auto" w:sz="4" w:space="0"/>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cs="仿宋" w:eastAsiaTheme="minorEastAsia"/>
                <w:color w:val="auto"/>
                <w:kern w:val="2"/>
                <w:sz w:val="28"/>
                <w:szCs w:val="28"/>
                <w:lang w:val="en-US" w:eastAsia="zh-CN" w:bidi="ar-SA"/>
              </w:rPr>
            </w:pPr>
            <w:r>
              <w:rPr>
                <w:rFonts w:hint="eastAsia" w:ascii="仿宋" w:hAnsi="仿宋" w:cs="仿宋" w:eastAsiaTheme="minorEastAsia"/>
                <w:sz w:val="28"/>
                <w:szCs w:val="28"/>
                <w:lang w:eastAsia="zh-CN"/>
              </w:rPr>
              <w:t>代开增值税专用发票</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280" w:firstLineChars="1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val="en-US" w:eastAsia="zh-CN"/>
              </w:rPr>
              <w:t>行政征收</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sz w:val="21"/>
                <w:szCs w:val="21"/>
                <w:lang w:eastAsia="zh-CN"/>
              </w:rPr>
              <w:t>《代开增值税发票缴纳税款申报单》</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w w:val="50"/>
                <w:sz w:val="21"/>
                <w:szCs w:val="21"/>
                <w:lang w:eastAsia="zh-CN"/>
              </w:rPr>
              <w:t>《中华人民共和国发票管理办法》（国务院令第587号）</w:t>
            </w:r>
            <w:r>
              <w:rPr>
                <w:rFonts w:hint="eastAsia" w:ascii="仿宋" w:hAnsi="仿宋" w:eastAsia="仿宋" w:cs="仿宋"/>
                <w:b w:val="0"/>
                <w:bCs w:val="0"/>
                <w:w w:val="50"/>
                <w:sz w:val="21"/>
                <w:szCs w:val="21"/>
                <w:lang w:eastAsia="zh-CN"/>
              </w:rPr>
              <w:br w:type="textWrapping"/>
            </w:r>
            <w:r>
              <w:rPr>
                <w:rFonts w:hint="eastAsia" w:ascii="仿宋" w:hAnsi="仿宋" w:eastAsia="仿宋" w:cs="仿宋"/>
                <w:b w:val="0"/>
                <w:bCs w:val="0"/>
                <w:w w:val="50"/>
                <w:sz w:val="21"/>
                <w:szCs w:val="21"/>
                <w:lang w:eastAsia="zh-CN"/>
              </w:rPr>
              <w:t>《中华人民共和国发票管理办法实施细则》（国家税务总局令第25号）</w:t>
            </w:r>
            <w:r>
              <w:rPr>
                <w:rFonts w:hint="eastAsia" w:ascii="仿宋" w:hAnsi="仿宋" w:eastAsia="仿宋" w:cs="仿宋"/>
                <w:b w:val="0"/>
                <w:bCs w:val="0"/>
                <w:w w:val="50"/>
                <w:sz w:val="21"/>
                <w:szCs w:val="21"/>
                <w:lang w:eastAsia="zh-CN"/>
              </w:rPr>
              <w:br w:type="textWrapping"/>
            </w:r>
            <w:r>
              <w:rPr>
                <w:rFonts w:hint="eastAsia" w:ascii="仿宋" w:hAnsi="仿宋" w:eastAsia="仿宋" w:cs="仿宋"/>
                <w:b w:val="0"/>
                <w:bCs w:val="0"/>
                <w:w w:val="50"/>
                <w:sz w:val="21"/>
                <w:szCs w:val="21"/>
                <w:lang w:eastAsia="zh-CN"/>
              </w:rPr>
              <w:t>《财政部 国家税务总局关于全面推开营业税改征增值税试点的通知》（财税〔2016〕36号）</w:t>
            </w:r>
            <w:r>
              <w:rPr>
                <w:rFonts w:hint="eastAsia" w:ascii="仿宋" w:hAnsi="仿宋" w:eastAsia="仿宋" w:cs="仿宋"/>
                <w:b w:val="0"/>
                <w:bCs w:val="0"/>
                <w:w w:val="50"/>
                <w:sz w:val="21"/>
                <w:szCs w:val="21"/>
                <w:lang w:eastAsia="zh-CN"/>
              </w:rPr>
              <w:br w:type="textWrapping"/>
            </w:r>
            <w:r>
              <w:rPr>
                <w:rFonts w:hint="eastAsia" w:ascii="仿宋" w:hAnsi="仿宋" w:eastAsia="仿宋" w:cs="仿宋"/>
                <w:b w:val="0"/>
                <w:bCs w:val="0"/>
                <w:w w:val="50"/>
                <w:sz w:val="21"/>
                <w:szCs w:val="21"/>
                <w:lang w:eastAsia="zh-CN"/>
              </w:rPr>
              <w:t>《国家税务总局关于个人保险代理人税收征管有关问题的公告》（国家税务总局公告2016年第45号）</w:t>
            </w:r>
            <w:r>
              <w:rPr>
                <w:rFonts w:hint="eastAsia" w:ascii="仿宋" w:hAnsi="仿宋" w:eastAsia="仿宋" w:cs="仿宋"/>
                <w:b w:val="0"/>
                <w:bCs w:val="0"/>
                <w:w w:val="50"/>
                <w:sz w:val="21"/>
                <w:szCs w:val="21"/>
                <w:lang w:eastAsia="zh-CN"/>
              </w:rPr>
              <w:br w:type="textWrapping"/>
            </w:r>
            <w:r>
              <w:rPr>
                <w:rFonts w:hint="eastAsia" w:ascii="仿宋" w:hAnsi="仿宋" w:eastAsia="仿宋" w:cs="仿宋"/>
                <w:b w:val="0"/>
                <w:bCs w:val="0"/>
                <w:w w:val="50"/>
                <w:sz w:val="21"/>
                <w:szCs w:val="21"/>
                <w:lang w:eastAsia="zh-CN"/>
              </w:rPr>
              <w:t>《国家税务总局关于修改〈中华人民共和国发票管理办法实施细则〉的决定》（国家税务总局令第37号）</w:t>
            </w:r>
            <w:r>
              <w:rPr>
                <w:rFonts w:hint="eastAsia" w:ascii="仿宋" w:hAnsi="仿宋" w:eastAsia="仿宋" w:cs="仿宋"/>
                <w:b w:val="0"/>
                <w:bCs w:val="0"/>
                <w:w w:val="50"/>
                <w:sz w:val="21"/>
                <w:szCs w:val="21"/>
                <w:lang w:eastAsia="zh-CN"/>
              </w:rPr>
              <w:br w:type="textWrapping"/>
            </w:r>
            <w:r>
              <w:rPr>
                <w:rFonts w:hint="eastAsia" w:ascii="仿宋" w:hAnsi="仿宋" w:eastAsia="仿宋" w:cs="仿宋"/>
                <w:b w:val="0"/>
                <w:bCs w:val="0"/>
                <w:w w:val="50"/>
                <w:sz w:val="21"/>
                <w:szCs w:val="21"/>
                <w:lang w:eastAsia="zh-CN"/>
              </w:rPr>
              <w:t>《国家税务总局关于纳税人申请代开增值税发票办理流程的公告》（国家税务总局公告2016年第59号）</w:t>
            </w:r>
            <w:r>
              <w:rPr>
                <w:rFonts w:hint="eastAsia" w:ascii="仿宋" w:hAnsi="仿宋" w:eastAsia="仿宋" w:cs="仿宋"/>
                <w:b w:val="0"/>
                <w:bCs w:val="0"/>
                <w:w w:val="50"/>
                <w:sz w:val="21"/>
                <w:szCs w:val="21"/>
                <w:lang w:eastAsia="zh-CN"/>
              </w:rPr>
              <w:br w:type="textWrapping"/>
            </w:r>
            <w:r>
              <w:rPr>
                <w:rFonts w:hint="eastAsia" w:ascii="仿宋" w:hAnsi="仿宋" w:eastAsia="仿宋" w:cs="仿宋"/>
                <w:b w:val="0"/>
                <w:bCs w:val="0"/>
                <w:w w:val="50"/>
                <w:sz w:val="21"/>
                <w:szCs w:val="21"/>
                <w:lang w:eastAsia="zh-CN"/>
              </w:rPr>
              <w:t>《国家税务总局关于营业税改征增值税委托地税局代征税款和代开增值税发票的通知》（税总函〔2016〕145号）</w:t>
            </w:r>
            <w:r>
              <w:rPr>
                <w:rFonts w:hint="eastAsia" w:ascii="仿宋" w:hAnsi="仿宋" w:eastAsia="仿宋" w:cs="仿宋"/>
                <w:b w:val="0"/>
                <w:bCs w:val="0"/>
                <w:w w:val="50"/>
                <w:sz w:val="21"/>
                <w:szCs w:val="21"/>
                <w:lang w:eastAsia="zh-CN"/>
              </w:rPr>
              <w:br w:type="textWrapping"/>
            </w:r>
            <w:r>
              <w:rPr>
                <w:rFonts w:hint="eastAsia" w:ascii="仿宋" w:hAnsi="仿宋" w:eastAsia="仿宋" w:cs="仿宋"/>
                <w:b w:val="0"/>
                <w:bCs w:val="0"/>
                <w:w w:val="50"/>
                <w:sz w:val="21"/>
                <w:szCs w:val="21"/>
                <w:lang w:eastAsia="zh-CN"/>
              </w:rPr>
              <w:t>《国家税务总局关于增值税发票开具有关问题的公告（国家税务总局公告2017年第16号） 《货物运输业小规模纳税人申请代开增值税专用发票管理办法》（国家税务总局公告2017年第55号）</w:t>
            </w:r>
            <w:r>
              <w:rPr>
                <w:rFonts w:hint="eastAsia" w:ascii="仿宋" w:hAnsi="仿宋" w:eastAsia="仿宋" w:cs="仿宋"/>
                <w:b w:val="0"/>
                <w:bCs w:val="0"/>
                <w:w w:val="50"/>
                <w:sz w:val="21"/>
                <w:szCs w:val="21"/>
                <w:lang w:eastAsia="zh-CN"/>
              </w:rPr>
              <w:br w:type="textWrapping"/>
            </w:r>
            <w:r>
              <w:rPr>
                <w:rFonts w:hint="eastAsia" w:ascii="仿宋" w:hAnsi="仿宋" w:eastAsia="仿宋" w:cs="仿宋"/>
                <w:b w:val="0"/>
                <w:bCs w:val="0"/>
                <w:w w:val="50"/>
                <w:sz w:val="21"/>
                <w:szCs w:val="21"/>
                <w:lang w:eastAsia="zh-CN"/>
              </w:rPr>
              <w:t>《国家税务总局关于小规模纳税人免征增值税政策有关征管问题的公告》（国家税务总局公告2019年第4号）</w:t>
            </w:r>
            <w:r>
              <w:rPr>
                <w:rFonts w:hint="eastAsia" w:ascii="仿宋" w:hAnsi="仿宋" w:eastAsia="仿宋" w:cs="仿宋"/>
                <w:b w:val="0"/>
                <w:bCs w:val="0"/>
                <w:w w:val="50"/>
                <w:sz w:val="21"/>
                <w:szCs w:val="21"/>
                <w:lang w:eastAsia="zh-CN"/>
              </w:rPr>
              <w:br w:type="textWrapping"/>
            </w:r>
            <w:r>
              <w:rPr>
                <w:rFonts w:hint="eastAsia" w:ascii="仿宋" w:hAnsi="仿宋" w:eastAsia="仿宋" w:cs="仿宋"/>
                <w:b w:val="0"/>
                <w:bCs w:val="0"/>
                <w:w w:val="50"/>
                <w:sz w:val="21"/>
                <w:szCs w:val="21"/>
                <w:lang w:eastAsia="zh-CN"/>
              </w:rPr>
              <w:t>《国家税务总局关于扩大小规模纳税人自行开具增值税专用发票试点范围等事项的公告》（国家税务总局公告2019年第8号）</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tcBorders>
              <w:top w:val="single" w:color="auto" w:sz="4" w:space="0"/>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cs="仿宋" w:eastAsiaTheme="minorEastAsia"/>
                <w:color w:val="auto"/>
                <w:kern w:val="2"/>
                <w:sz w:val="28"/>
                <w:szCs w:val="28"/>
                <w:lang w:val="en-US" w:eastAsia="zh-CN" w:bidi="ar-SA"/>
              </w:rPr>
            </w:pPr>
            <w:r>
              <w:rPr>
                <w:rFonts w:hint="eastAsia" w:ascii="仿宋" w:hAnsi="仿宋" w:cs="仿宋" w:eastAsiaTheme="minorEastAsia"/>
                <w:sz w:val="28"/>
                <w:szCs w:val="28"/>
                <w:lang w:eastAsia="zh-CN"/>
              </w:rPr>
              <w:t>代开发票作废</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280" w:firstLineChars="1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val="en-US" w:eastAsia="zh-CN"/>
              </w:rPr>
              <w:t>其他行政权力</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sz w:val="21"/>
                <w:szCs w:val="21"/>
                <w:lang w:eastAsia="zh-CN"/>
              </w:rPr>
              <w:t>已开具发票各联次</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w w:val="80"/>
                <w:kern w:val="2"/>
                <w:sz w:val="21"/>
                <w:szCs w:val="21"/>
                <w:lang w:val="en-US" w:eastAsia="zh-CN" w:bidi="ar-SA"/>
              </w:rPr>
            </w:pPr>
            <w:r>
              <w:rPr>
                <w:rFonts w:hint="eastAsia" w:ascii="仿宋" w:hAnsi="仿宋" w:eastAsia="仿宋" w:cs="仿宋"/>
                <w:b w:val="0"/>
                <w:bCs w:val="0"/>
                <w:w w:val="80"/>
                <w:sz w:val="21"/>
                <w:szCs w:val="21"/>
                <w:lang w:eastAsia="zh-CN"/>
              </w:rPr>
              <w:t>《中华人民共和国发票管理办法》（国务院令第587号）</w:t>
            </w:r>
            <w:r>
              <w:rPr>
                <w:rFonts w:hint="eastAsia" w:ascii="仿宋" w:hAnsi="仿宋" w:eastAsia="仿宋" w:cs="仿宋"/>
                <w:b w:val="0"/>
                <w:bCs w:val="0"/>
                <w:w w:val="80"/>
                <w:sz w:val="21"/>
                <w:szCs w:val="21"/>
                <w:lang w:eastAsia="zh-CN"/>
              </w:rPr>
              <w:br w:type="textWrapping"/>
            </w:r>
            <w:r>
              <w:rPr>
                <w:rFonts w:hint="eastAsia" w:ascii="仿宋" w:hAnsi="仿宋" w:eastAsia="仿宋" w:cs="仿宋"/>
                <w:b w:val="0"/>
                <w:bCs w:val="0"/>
                <w:w w:val="80"/>
                <w:sz w:val="21"/>
                <w:szCs w:val="21"/>
                <w:lang w:eastAsia="zh-CN"/>
              </w:rPr>
              <w:t>《中华人民共和国发票管理办法实施细则》（国家税务总局令第25号）</w:t>
            </w:r>
            <w:r>
              <w:rPr>
                <w:rFonts w:hint="eastAsia" w:ascii="仿宋" w:hAnsi="仿宋" w:eastAsia="仿宋" w:cs="仿宋"/>
                <w:b w:val="0"/>
                <w:bCs w:val="0"/>
                <w:w w:val="80"/>
                <w:sz w:val="21"/>
                <w:szCs w:val="21"/>
                <w:lang w:eastAsia="zh-CN"/>
              </w:rPr>
              <w:br w:type="textWrapping"/>
            </w:r>
            <w:r>
              <w:rPr>
                <w:rFonts w:hint="eastAsia" w:ascii="仿宋" w:hAnsi="仿宋" w:eastAsia="仿宋" w:cs="仿宋"/>
                <w:b w:val="0"/>
                <w:bCs w:val="0"/>
                <w:w w:val="80"/>
                <w:sz w:val="21"/>
                <w:szCs w:val="21"/>
                <w:lang w:eastAsia="zh-CN"/>
              </w:rPr>
              <w:t>《国家税务总局关于修改〈中华人民共和国发票管理办法实施细则〉的决定》（国家税务总局令第37号） 《国家税务总局关于纳税人申请代开增值税发票办理流程的公告》（国家税务总局公告2016年第59号）</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tcBorders>
              <w:top w:val="single" w:color="auto" w:sz="4" w:space="0"/>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cs="仿宋" w:eastAsiaTheme="minorEastAsia"/>
                <w:color w:val="auto"/>
                <w:kern w:val="2"/>
                <w:sz w:val="28"/>
                <w:szCs w:val="28"/>
                <w:lang w:val="en-US" w:eastAsia="zh-CN" w:bidi="ar-SA"/>
              </w:rPr>
            </w:pPr>
            <w:r>
              <w:rPr>
                <w:rFonts w:hint="eastAsia" w:ascii="仿宋" w:hAnsi="仿宋" w:cs="仿宋" w:eastAsiaTheme="minorEastAsia"/>
                <w:sz w:val="28"/>
                <w:szCs w:val="28"/>
                <w:lang w:eastAsia="zh-CN"/>
              </w:rPr>
              <w:t>代开增值税普通发票</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280" w:firstLineChars="1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val="en-US" w:eastAsia="zh-CN"/>
              </w:rPr>
              <w:t>其他行政权力</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sz w:val="21"/>
                <w:szCs w:val="21"/>
                <w:lang w:eastAsia="zh-CN"/>
              </w:rPr>
              <w:t>《代开增值税发票缴纳税款申报单》</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w w:val="80"/>
                <w:kern w:val="2"/>
                <w:sz w:val="21"/>
                <w:szCs w:val="21"/>
                <w:lang w:val="en-US" w:eastAsia="zh-CN" w:bidi="ar-SA"/>
              </w:rPr>
            </w:pPr>
            <w:r>
              <w:rPr>
                <w:rFonts w:hint="eastAsia" w:ascii="仿宋" w:hAnsi="仿宋" w:eastAsia="仿宋" w:cs="仿宋"/>
                <w:b w:val="0"/>
                <w:bCs w:val="0"/>
                <w:w w:val="80"/>
                <w:sz w:val="21"/>
                <w:szCs w:val="21"/>
                <w:lang w:eastAsia="zh-CN"/>
              </w:rPr>
              <w:t>《中华人民共和国发票管理办法》（国务院令第587号）</w:t>
            </w:r>
            <w:r>
              <w:rPr>
                <w:rFonts w:hint="eastAsia" w:ascii="仿宋" w:hAnsi="仿宋" w:eastAsia="仿宋" w:cs="仿宋"/>
                <w:b w:val="0"/>
                <w:bCs w:val="0"/>
                <w:w w:val="80"/>
                <w:sz w:val="21"/>
                <w:szCs w:val="21"/>
                <w:lang w:eastAsia="zh-CN"/>
              </w:rPr>
              <w:br w:type="textWrapping"/>
            </w:r>
            <w:r>
              <w:rPr>
                <w:rFonts w:hint="eastAsia" w:ascii="仿宋" w:hAnsi="仿宋" w:eastAsia="仿宋" w:cs="仿宋"/>
                <w:b w:val="0"/>
                <w:bCs w:val="0"/>
                <w:w w:val="80"/>
                <w:sz w:val="21"/>
                <w:szCs w:val="21"/>
                <w:lang w:eastAsia="zh-CN"/>
              </w:rPr>
              <w:t>《中华人民共和国发票管理办法实施细则》（国家税务总局令第25号）</w:t>
            </w:r>
            <w:r>
              <w:rPr>
                <w:rFonts w:hint="eastAsia" w:ascii="仿宋" w:hAnsi="仿宋" w:eastAsia="仿宋" w:cs="仿宋"/>
                <w:b w:val="0"/>
                <w:bCs w:val="0"/>
                <w:w w:val="80"/>
                <w:sz w:val="21"/>
                <w:szCs w:val="21"/>
                <w:lang w:eastAsia="zh-CN"/>
              </w:rPr>
              <w:br w:type="textWrapping"/>
            </w:r>
            <w:r>
              <w:rPr>
                <w:rFonts w:hint="eastAsia" w:ascii="仿宋" w:hAnsi="仿宋" w:eastAsia="仿宋" w:cs="仿宋"/>
                <w:b w:val="0"/>
                <w:bCs w:val="0"/>
                <w:w w:val="80"/>
                <w:sz w:val="21"/>
                <w:szCs w:val="21"/>
                <w:lang w:eastAsia="zh-CN"/>
              </w:rPr>
              <w:t>《国家税务总局关于修改〈中华人民共和国发票管理办法实施细则〉的决定》（国家税务总局令第37号）</w:t>
            </w:r>
            <w:r>
              <w:rPr>
                <w:rFonts w:hint="eastAsia" w:ascii="仿宋" w:hAnsi="仿宋" w:eastAsia="仿宋" w:cs="仿宋"/>
                <w:b w:val="0"/>
                <w:bCs w:val="0"/>
                <w:w w:val="80"/>
                <w:sz w:val="21"/>
                <w:szCs w:val="21"/>
                <w:lang w:eastAsia="zh-CN"/>
              </w:rPr>
              <w:br w:type="textWrapping"/>
            </w:r>
            <w:r>
              <w:rPr>
                <w:rFonts w:hint="eastAsia" w:ascii="仿宋" w:hAnsi="仿宋" w:eastAsia="仿宋" w:cs="仿宋"/>
                <w:b w:val="0"/>
                <w:bCs w:val="0"/>
                <w:w w:val="80"/>
                <w:sz w:val="21"/>
                <w:szCs w:val="21"/>
                <w:lang w:eastAsia="zh-CN"/>
              </w:rPr>
              <w:t>《国家税务总局关于个人保险代理人税收征管有关问题的公告》（国家税务总局公告2016年第45号）</w:t>
            </w:r>
            <w:r>
              <w:rPr>
                <w:rFonts w:hint="eastAsia" w:ascii="仿宋" w:hAnsi="仿宋" w:eastAsia="仿宋" w:cs="仿宋"/>
                <w:b w:val="0"/>
                <w:bCs w:val="0"/>
                <w:w w:val="80"/>
                <w:sz w:val="21"/>
                <w:szCs w:val="21"/>
                <w:lang w:eastAsia="zh-CN"/>
              </w:rPr>
              <w:br w:type="textWrapping"/>
            </w:r>
            <w:r>
              <w:rPr>
                <w:rFonts w:hint="eastAsia" w:ascii="仿宋" w:hAnsi="仿宋" w:eastAsia="仿宋" w:cs="仿宋"/>
                <w:b w:val="0"/>
                <w:bCs w:val="0"/>
                <w:w w:val="80"/>
                <w:sz w:val="21"/>
                <w:szCs w:val="21"/>
                <w:lang w:eastAsia="zh-CN"/>
              </w:rPr>
              <w:t>《国家税务总局关于纳税人申请代开增值税发票办理流程的公告》（国家税务总局公告2016年第59号）</w:t>
            </w:r>
            <w:r>
              <w:rPr>
                <w:rFonts w:hint="eastAsia" w:ascii="仿宋" w:hAnsi="仿宋" w:eastAsia="仿宋" w:cs="仿宋"/>
                <w:b w:val="0"/>
                <w:bCs w:val="0"/>
                <w:w w:val="80"/>
                <w:sz w:val="21"/>
                <w:szCs w:val="21"/>
                <w:lang w:eastAsia="zh-CN"/>
              </w:rPr>
              <w:br w:type="textWrapping"/>
            </w:r>
            <w:r>
              <w:rPr>
                <w:rFonts w:hint="eastAsia" w:ascii="仿宋" w:hAnsi="仿宋" w:eastAsia="仿宋" w:cs="仿宋"/>
                <w:b w:val="0"/>
                <w:bCs w:val="0"/>
                <w:w w:val="80"/>
                <w:sz w:val="21"/>
                <w:szCs w:val="21"/>
                <w:lang w:eastAsia="zh-CN"/>
              </w:rPr>
              <w:t>《国家税务总局关于营业税改征增值税委托地税局代征税款和代开增值税发票的通知》（税总函〔2016〕145号）</w:t>
            </w:r>
            <w:r>
              <w:rPr>
                <w:rFonts w:hint="eastAsia" w:ascii="仿宋" w:hAnsi="仿宋" w:eastAsia="仿宋" w:cs="仿宋"/>
                <w:b w:val="0"/>
                <w:bCs w:val="0"/>
                <w:w w:val="80"/>
                <w:sz w:val="21"/>
                <w:szCs w:val="21"/>
                <w:lang w:eastAsia="zh-CN"/>
              </w:rPr>
              <w:br w:type="textWrapping"/>
            </w:r>
            <w:r>
              <w:rPr>
                <w:rFonts w:hint="eastAsia" w:ascii="仿宋" w:hAnsi="仿宋" w:eastAsia="仿宋" w:cs="仿宋"/>
                <w:b w:val="0"/>
                <w:bCs w:val="0"/>
                <w:w w:val="80"/>
                <w:sz w:val="21"/>
                <w:szCs w:val="21"/>
                <w:lang w:eastAsia="zh-CN"/>
              </w:rPr>
              <w:t>《国家税务总局关于增值税发票开具有关问题的公告（国家税务总局公告2017年第16号）</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tcBorders>
              <w:top w:val="single" w:color="auto" w:sz="4" w:space="0"/>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cs="仿宋" w:eastAsiaTheme="minorEastAsia"/>
                <w:color w:val="auto"/>
                <w:kern w:val="2"/>
                <w:sz w:val="28"/>
                <w:szCs w:val="28"/>
                <w:lang w:val="en-US" w:eastAsia="zh-CN" w:bidi="ar-SA"/>
              </w:rPr>
            </w:pPr>
            <w:r>
              <w:rPr>
                <w:rFonts w:hint="eastAsia" w:ascii="仿宋" w:hAnsi="仿宋" w:cs="仿宋" w:eastAsiaTheme="minorEastAsia"/>
                <w:sz w:val="28"/>
                <w:szCs w:val="28"/>
                <w:lang w:eastAsia="zh-CN"/>
              </w:rPr>
              <w:t>科技成果转化暂不征收个人所得税备案</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280" w:firstLineChars="1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val="en-US" w:eastAsia="zh-CN"/>
              </w:rPr>
              <w:t>公共服务</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sz w:val="21"/>
                <w:szCs w:val="21"/>
                <w:lang w:eastAsia="zh-CN"/>
              </w:rPr>
              <w:t>《科技成果转化暂不征收个人所得税备案表》</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sz w:val="21"/>
                <w:szCs w:val="21"/>
                <w:lang w:eastAsia="zh-CN"/>
              </w:rPr>
              <w:t>《财政部 国家税务总局关于促进科技成果转化有关税收政策的通知》（财税字〔1999〕45号 ）</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《国家税务总局关于促进科技成果转化有关个人所得税问题的通知》（国税发〔1999〕125号）</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《国家税务总局关于 3 项个人所得税事项取消审批实施后续管理的公告》（国家税务总局公告 2016 年第 5 号）</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tcBorders>
              <w:top w:val="single" w:color="auto" w:sz="4" w:space="0"/>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cs="仿宋" w:eastAsiaTheme="minorEastAsia"/>
                <w:color w:val="auto"/>
                <w:kern w:val="2"/>
                <w:sz w:val="28"/>
                <w:szCs w:val="28"/>
                <w:lang w:val="en-US" w:eastAsia="zh-CN" w:bidi="ar-SA"/>
              </w:rPr>
            </w:pPr>
            <w:r>
              <w:rPr>
                <w:rFonts w:hint="eastAsia" w:ascii="仿宋" w:hAnsi="仿宋" w:cs="仿宋" w:eastAsiaTheme="minorEastAsia"/>
                <w:sz w:val="28"/>
                <w:szCs w:val="28"/>
                <w:lang w:eastAsia="zh-CN"/>
              </w:rPr>
              <w:t>核定征收企业所得税重大变化报告</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280" w:firstLineChars="1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val="en-US" w:eastAsia="zh-CN"/>
              </w:rPr>
              <w:t>行政征收</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sz w:val="21"/>
                <w:szCs w:val="21"/>
                <w:lang w:eastAsia="zh-CN"/>
              </w:rPr>
              <w:t>核定征收企业生产经营范围、主营业务发生重大变化等情况说明</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sz w:val="21"/>
                <w:szCs w:val="21"/>
                <w:lang w:eastAsia="zh-CN"/>
              </w:rPr>
              <w:t>《企业所得税核定征收办法（试行）》（国税发〔2008〕30号公布，国家税务总局公告2018年第31号修改）第九条</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00"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tcBorders>
              <w:top w:val="single" w:color="auto" w:sz="4" w:space="0"/>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cs="仿宋" w:eastAsiaTheme="minorEastAsia"/>
                <w:color w:val="auto"/>
                <w:kern w:val="2"/>
                <w:sz w:val="28"/>
                <w:szCs w:val="28"/>
                <w:lang w:val="en-US" w:eastAsia="zh-CN" w:bidi="ar-SA"/>
              </w:rPr>
            </w:pPr>
            <w:r>
              <w:rPr>
                <w:rFonts w:hint="eastAsia" w:ascii="仿宋" w:hAnsi="仿宋" w:cs="仿宋" w:eastAsiaTheme="minorEastAsia"/>
                <w:sz w:val="28"/>
                <w:szCs w:val="28"/>
                <w:lang w:eastAsia="zh-CN"/>
              </w:rPr>
              <w:t>企业所得税汇总纳税信息报告</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280" w:firstLineChars="1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val="en-US" w:eastAsia="zh-CN"/>
              </w:rPr>
              <w:t>行政征收</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sz w:val="21"/>
                <w:szCs w:val="21"/>
                <w:lang w:eastAsia="zh-CN"/>
              </w:rPr>
              <w:t>《企业所得税汇总纳税总分机构信息备案表》</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sz w:val="21"/>
                <w:szCs w:val="21"/>
                <w:lang w:eastAsia="zh-CN"/>
              </w:rPr>
              <w:t>1.</w:t>
            </w:r>
            <w:r>
              <w:rPr>
                <w:rFonts w:hint="eastAsia" w:ascii="仿宋" w:hAnsi="仿宋" w:eastAsia="仿宋" w:cs="仿宋"/>
                <w:b w:val="0"/>
                <w:bCs w:val="0"/>
                <w:w w:val="66"/>
                <w:sz w:val="21"/>
                <w:szCs w:val="21"/>
                <w:lang w:eastAsia="zh-CN"/>
              </w:rPr>
              <w:t>《跨地区经营汇总纳税企业所得税征收管理办法》（国家税务总局公告2012年第57号公布，国家税务总局公告2015年第6号修改）第二十二条</w:t>
            </w:r>
            <w:r>
              <w:rPr>
                <w:rFonts w:hint="eastAsia" w:ascii="仿宋" w:hAnsi="仿宋" w:eastAsia="仿宋" w:cs="仿宋"/>
                <w:b w:val="0"/>
                <w:bCs w:val="0"/>
                <w:w w:val="66"/>
                <w:sz w:val="21"/>
                <w:szCs w:val="21"/>
                <w:lang w:eastAsia="zh-CN"/>
              </w:rPr>
              <w:br w:type="textWrapping"/>
            </w:r>
            <w:r>
              <w:rPr>
                <w:rFonts w:hint="eastAsia" w:ascii="仿宋" w:hAnsi="仿宋" w:eastAsia="仿宋" w:cs="仿宋"/>
                <w:b w:val="0"/>
                <w:bCs w:val="0"/>
                <w:w w:val="66"/>
                <w:sz w:val="21"/>
                <w:szCs w:val="21"/>
                <w:lang w:eastAsia="zh-CN"/>
              </w:rPr>
              <w:t>2.《国家税务总局关于3项企业所得税事项取消审批后加强后续管理的公告》（国家税务总局公告2015年第6号）第二条</w:t>
            </w:r>
            <w:r>
              <w:rPr>
                <w:rFonts w:hint="eastAsia" w:ascii="仿宋" w:hAnsi="仿宋" w:eastAsia="仿宋" w:cs="仿宋"/>
                <w:b w:val="0"/>
                <w:bCs w:val="0"/>
                <w:w w:val="66"/>
                <w:sz w:val="21"/>
                <w:szCs w:val="21"/>
                <w:lang w:eastAsia="zh-CN"/>
              </w:rPr>
              <w:br w:type="textWrapping"/>
            </w:r>
            <w:r>
              <w:rPr>
                <w:rFonts w:hint="eastAsia" w:ascii="仿宋" w:hAnsi="仿宋" w:eastAsia="仿宋" w:cs="仿宋"/>
                <w:b w:val="0"/>
                <w:bCs w:val="0"/>
                <w:w w:val="66"/>
                <w:sz w:val="21"/>
                <w:szCs w:val="21"/>
                <w:lang w:eastAsia="zh-CN"/>
              </w:rPr>
              <w:t>3.《国家税务总局　财政部　中国人民银行关于非居民企业机构场所汇总缴纳企业所得税有关问题的公告》（国家税务总局公告2019年第12号）第六条</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tcBorders>
              <w:top w:val="single" w:color="auto" w:sz="4" w:space="0"/>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cs="仿宋" w:eastAsiaTheme="minorEastAsia"/>
                <w:color w:val="auto"/>
                <w:kern w:val="2"/>
                <w:sz w:val="28"/>
                <w:szCs w:val="28"/>
                <w:lang w:val="en-US" w:eastAsia="zh-CN" w:bidi="ar-SA"/>
              </w:rPr>
            </w:pPr>
            <w:r>
              <w:rPr>
                <w:rFonts w:hint="eastAsia" w:ascii="仿宋" w:hAnsi="仿宋" w:cs="仿宋" w:eastAsiaTheme="minorEastAsia"/>
                <w:sz w:val="28"/>
                <w:szCs w:val="28"/>
                <w:lang w:eastAsia="zh-CN"/>
              </w:rPr>
              <w:t>停（复）业登记</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280" w:firstLineChars="1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val="en-US" w:eastAsia="zh-CN"/>
              </w:rPr>
              <w:t>其他行政权力</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sz w:val="21"/>
                <w:szCs w:val="21"/>
                <w:lang w:eastAsia="zh-CN"/>
              </w:rPr>
              <w:t>《停业复业报告书》，《税务登记证》正、副本</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sz w:val="21"/>
                <w:szCs w:val="21"/>
                <w:lang w:eastAsia="zh-CN"/>
              </w:rPr>
              <w:t>《个体工商户税收定期定额征收管理办法》（国家税务总局令第16号公布，国家税务总局令第44号修改）第二十条、第二十五条</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tcBorders>
              <w:top w:val="single" w:color="auto" w:sz="4" w:space="0"/>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cs="仿宋" w:eastAsiaTheme="minorEastAsia"/>
                <w:color w:val="auto"/>
                <w:kern w:val="2"/>
                <w:sz w:val="28"/>
                <w:szCs w:val="28"/>
                <w:lang w:val="en-US" w:eastAsia="zh-CN" w:bidi="ar-SA"/>
              </w:rPr>
            </w:pPr>
            <w:r>
              <w:rPr>
                <w:rFonts w:hint="eastAsia" w:ascii="仿宋" w:hAnsi="仿宋" w:cs="仿宋" w:eastAsiaTheme="minorEastAsia"/>
                <w:w w:val="80"/>
                <w:sz w:val="28"/>
                <w:szCs w:val="28"/>
                <w:lang w:eastAsia="zh-CN"/>
              </w:rPr>
              <w:t>房地产税收一体化信息报告（适用于存量房销售信息报告、适用于税源申报明细报告、适用于土地出（转）让信息报告、适用于增量房销售信息报告）</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280" w:firstLineChars="1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val="en-US" w:eastAsia="zh-CN"/>
              </w:rPr>
              <w:t>公共服务</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sz w:val="21"/>
                <w:szCs w:val="21"/>
                <w:lang w:eastAsia="zh-CN"/>
              </w:rPr>
              <w:t>《税源申报明细报告表》</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sz w:val="21"/>
                <w:szCs w:val="21"/>
                <w:lang w:eastAsia="zh-CN"/>
              </w:rPr>
              <w:t>《房地产税收一体化管理业务规程》（国税发〔2007〕114 号）</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tcBorders>
              <w:top w:val="single" w:color="auto" w:sz="4" w:space="0"/>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cs="仿宋" w:eastAsiaTheme="minorEastAsia"/>
                <w:color w:val="auto"/>
                <w:kern w:val="2"/>
                <w:sz w:val="28"/>
                <w:szCs w:val="28"/>
                <w:lang w:val="en-US" w:eastAsia="zh-CN" w:bidi="ar-SA"/>
              </w:rPr>
            </w:pPr>
            <w:r>
              <w:rPr>
                <w:rFonts w:hint="eastAsia" w:ascii="仿宋" w:hAnsi="仿宋" w:cs="仿宋" w:eastAsiaTheme="minorEastAsia"/>
                <w:sz w:val="28"/>
                <w:szCs w:val="28"/>
                <w:lang w:eastAsia="zh-CN"/>
              </w:rPr>
              <w:t>涉税专业服务机构基本信息和业务信息报送</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280" w:firstLineChars="1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val="en-US" w:eastAsia="zh-CN"/>
              </w:rPr>
              <w:t>其他行政权力</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sz w:val="21"/>
                <w:szCs w:val="21"/>
                <w:lang w:eastAsia="zh-CN"/>
              </w:rPr>
              <w:t>涉税专业服务机构（人员）基本信息采集表</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sz w:val="21"/>
                <w:szCs w:val="21"/>
                <w:lang w:eastAsia="zh-CN"/>
              </w:rPr>
              <w:t>《涉税专业服务监管办法（试行）》（国家税务总局公告2017年第13号）</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《国家税务总局关于采集涉税专业服务基本信息和业务信息有关事项的公告》（国家税务总局公告2017年第49号）</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tcBorders>
              <w:top w:val="single" w:color="auto" w:sz="4" w:space="0"/>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cs="仿宋" w:eastAsiaTheme="minorEastAsia"/>
                <w:color w:val="auto"/>
                <w:kern w:val="2"/>
                <w:sz w:val="28"/>
                <w:szCs w:val="28"/>
                <w:lang w:val="en-US" w:eastAsia="zh-CN" w:bidi="ar-SA"/>
              </w:rPr>
            </w:pPr>
            <w:r>
              <w:rPr>
                <w:rFonts w:hint="eastAsia" w:ascii="仿宋" w:hAnsi="仿宋" w:cs="仿宋" w:eastAsiaTheme="minorEastAsia"/>
                <w:sz w:val="28"/>
                <w:szCs w:val="28"/>
                <w:lang w:eastAsia="zh-CN"/>
              </w:rPr>
              <w:t>中国居民（国民）申请启动税务相互协商程序</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280" w:firstLineChars="1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val="en-US" w:eastAsia="zh-CN"/>
              </w:rPr>
              <w:t>公共服务</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sz w:val="21"/>
                <w:szCs w:val="21"/>
                <w:lang w:eastAsia="zh-CN"/>
              </w:rPr>
              <w:t>《启动税收协定相互协商程序申请表》，《税收协定相互协商程序异议申请表》</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sz w:val="21"/>
                <w:szCs w:val="21"/>
                <w:lang w:eastAsia="zh-CN"/>
              </w:rPr>
              <w:t>《国家税务总局关于印发〈境外注册中资控股居民企业所得税管理办法（试行）〉的公告》（国家税务总局公告2011年第45号）</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《国家税务总局关于发布〈税收协定相互协商程序实施办法〉的公告》（国家税务总局公告2013年第56号）</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《国家税务总局关于修改部分税收规范性文件的公告》（国家税务总局公告2018年第31号）</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中国政府与其他国家政府签订的避免双重征税协定，内地与香港、澳门签订的避免双重征税安排</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47"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tcBorders>
              <w:top w:val="single" w:color="auto" w:sz="4" w:space="0"/>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cs="仿宋" w:eastAsiaTheme="minorEastAsia"/>
                <w:color w:val="auto"/>
                <w:kern w:val="2"/>
                <w:sz w:val="28"/>
                <w:szCs w:val="28"/>
                <w:lang w:val="en-US" w:eastAsia="zh-CN" w:bidi="ar-SA"/>
              </w:rPr>
            </w:pPr>
            <w:r>
              <w:rPr>
                <w:rFonts w:hint="eastAsia" w:ascii="仿宋" w:hAnsi="仿宋" w:cs="仿宋" w:eastAsiaTheme="minorEastAsia"/>
                <w:sz w:val="28"/>
                <w:szCs w:val="28"/>
                <w:lang w:eastAsia="zh-CN"/>
              </w:rPr>
              <w:t>海关缴款书核查申请</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280" w:firstLineChars="1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val="en-US" w:eastAsia="zh-CN"/>
              </w:rPr>
              <w:t>行政征收</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sz w:val="21"/>
                <w:szCs w:val="21"/>
                <w:lang w:eastAsia="zh-CN"/>
              </w:rPr>
              <w:t>《“异常”海关进口增值税专用缴款书数据核对申请书》，海关进口增值税专用缴款书原件</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sz w:val="21"/>
                <w:szCs w:val="21"/>
                <w:lang w:eastAsia="zh-CN"/>
              </w:rPr>
              <w:t>《国家税务总局　海关总署关于实行海关进口增值税专用缴款书“先比对后抵扣”管理办法有关问题的公告》（国家税务总局　海关总署公告2013年第31号）</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40"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tcBorders>
              <w:top w:val="single" w:color="auto" w:sz="4" w:space="0"/>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cs="仿宋" w:eastAsiaTheme="minorEastAsia"/>
                <w:color w:val="auto"/>
                <w:kern w:val="2"/>
                <w:sz w:val="28"/>
                <w:szCs w:val="28"/>
                <w:lang w:val="en-US" w:eastAsia="zh-CN" w:bidi="ar-SA"/>
              </w:rPr>
            </w:pPr>
            <w:r>
              <w:rPr>
                <w:rFonts w:hint="eastAsia" w:ascii="仿宋" w:hAnsi="仿宋" w:cs="仿宋" w:eastAsiaTheme="minorEastAsia"/>
                <w:sz w:val="28"/>
                <w:szCs w:val="28"/>
                <w:lang w:eastAsia="zh-CN"/>
              </w:rPr>
              <w:t>未按期申报抵扣增值税扣税凭证抵扣申请</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280" w:firstLineChars="1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val="en-US" w:eastAsia="zh-CN"/>
              </w:rPr>
              <w:t>行政征收</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sz w:val="21"/>
                <w:szCs w:val="21"/>
                <w:lang w:eastAsia="zh-CN"/>
              </w:rPr>
              <w:t>《未按期申报抵扣增值税扣税凭证抵扣申请单》，已认证增值税扣税凭证清单，其他增值税扣税凭证未按期申报抵扣情况说明及佐证材料，未按期申报抵扣增值税扣税凭证</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sz w:val="21"/>
                <w:szCs w:val="21"/>
                <w:lang w:eastAsia="zh-CN"/>
              </w:rPr>
              <w:t>《国家税务总局关于未按期申报抵扣增值税扣税凭证有关问题的公告》（国家税务总局公告2011年第78号）</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66"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tcBorders>
              <w:top w:val="single" w:color="auto" w:sz="4" w:space="0"/>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cs="仿宋" w:eastAsiaTheme="minorEastAsia"/>
                <w:color w:val="auto"/>
                <w:kern w:val="2"/>
                <w:sz w:val="28"/>
                <w:szCs w:val="28"/>
                <w:lang w:val="en-US" w:eastAsia="zh-CN" w:bidi="ar-SA"/>
              </w:rPr>
            </w:pPr>
            <w:r>
              <w:rPr>
                <w:rFonts w:hint="eastAsia" w:ascii="仿宋" w:hAnsi="仿宋" w:cs="仿宋" w:eastAsiaTheme="minorEastAsia"/>
                <w:sz w:val="28"/>
                <w:szCs w:val="28"/>
                <w:lang w:eastAsia="zh-CN"/>
              </w:rPr>
              <w:t>扣缴义务人报告自然人身份信息</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280" w:firstLineChars="1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val="en-US" w:eastAsia="zh-CN"/>
              </w:rPr>
              <w:t>公共服务</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sz w:val="21"/>
                <w:szCs w:val="21"/>
                <w:lang w:eastAsia="zh-CN"/>
              </w:rPr>
              <w:t>《个人所得税基础信息表（A表）》，股东变更情况说明、股东及其股权变化情况、股权交易前原账面记载的盈余积累数额、转增股本数额及扣缴税款情况报告</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sz w:val="21"/>
                <w:szCs w:val="21"/>
                <w:lang w:eastAsia="zh-CN"/>
              </w:rPr>
              <w:t>《中华人民共和国税收征收管理法》第三十条</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《中华人民共和国个人所得税法》第九条</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《股权转让所得个人所得税管理办法（试行）》（国家税务总局公告2014年第67号）第二十二条</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《个人所得税扣缴申报管理办法（试行）》（国家税务总局公告2018年第61号）第五条</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47"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tcBorders>
              <w:top w:val="single" w:color="auto" w:sz="4" w:space="0"/>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cs="仿宋" w:eastAsiaTheme="minorEastAsia"/>
                <w:color w:val="auto"/>
                <w:kern w:val="2"/>
                <w:sz w:val="28"/>
                <w:szCs w:val="28"/>
                <w:lang w:val="en-US" w:eastAsia="zh-CN" w:bidi="ar-SA"/>
              </w:rPr>
            </w:pPr>
            <w:r>
              <w:rPr>
                <w:rFonts w:hint="eastAsia" w:ascii="仿宋" w:hAnsi="仿宋" w:cs="仿宋" w:eastAsiaTheme="minorEastAsia"/>
                <w:sz w:val="28"/>
                <w:szCs w:val="28"/>
                <w:lang w:eastAsia="zh-CN"/>
              </w:rPr>
              <w:t>自然人自主报告身份信息</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280" w:firstLineChars="1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val="en-US" w:eastAsia="zh-CN"/>
              </w:rPr>
              <w:t>公共服务</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sz w:val="21"/>
                <w:szCs w:val="21"/>
                <w:lang w:eastAsia="zh-CN"/>
              </w:rPr>
              <w:t>《个人所得税基础信息表（B表）》</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sz w:val="21"/>
                <w:szCs w:val="21"/>
                <w:lang w:eastAsia="zh-CN"/>
              </w:rPr>
              <w:t>《中华人民共和国税收征收管理法》第十三条</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《中华人民共和国个人所得税法》第九条</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53"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tcBorders>
              <w:top w:val="single" w:color="auto" w:sz="4" w:space="0"/>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cs="仿宋" w:eastAsiaTheme="minorEastAsia"/>
                <w:color w:val="auto"/>
                <w:kern w:val="2"/>
                <w:sz w:val="28"/>
                <w:szCs w:val="28"/>
                <w:lang w:val="en-US" w:eastAsia="zh-CN" w:bidi="ar-SA"/>
              </w:rPr>
            </w:pPr>
            <w:r>
              <w:rPr>
                <w:rFonts w:hint="eastAsia" w:ascii="仿宋" w:hAnsi="仿宋" w:cs="仿宋" w:eastAsiaTheme="minorEastAsia"/>
                <w:sz w:val="28"/>
                <w:szCs w:val="28"/>
                <w:lang w:eastAsia="zh-CN"/>
              </w:rPr>
              <w:t>境外注册中资控股企业居民身份认定申请</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280" w:firstLineChars="1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val="en-US" w:eastAsia="zh-CN"/>
              </w:rPr>
              <w:t>行政确认</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sz w:val="21"/>
                <w:szCs w:val="21"/>
                <w:lang w:eastAsia="zh-CN"/>
              </w:rPr>
              <w:t>居民身份认定书面申请，企业集团组织结构说明及生产经营概况</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sz w:val="21"/>
                <w:szCs w:val="21"/>
                <w:lang w:eastAsia="zh-CN"/>
              </w:rPr>
              <w:t>《境外注册中资控股居民企业所得税管理办法（试行）》（国家税务总局公告2011年第45号发布，国家税务总局公告2015年第22号、国家税务总局公告2018年第31号修改）第七条、第八条</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tcBorders>
              <w:top w:val="single" w:color="auto" w:sz="4" w:space="0"/>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cs="仿宋" w:eastAsiaTheme="minorEastAsia"/>
                <w:color w:val="auto"/>
                <w:kern w:val="2"/>
                <w:sz w:val="28"/>
                <w:szCs w:val="28"/>
                <w:lang w:val="en-US" w:eastAsia="zh-CN" w:bidi="ar-SA"/>
              </w:rPr>
            </w:pPr>
            <w:r>
              <w:rPr>
                <w:rFonts w:hint="eastAsia" w:ascii="仿宋" w:hAnsi="仿宋" w:cs="仿宋" w:eastAsiaTheme="minorEastAsia"/>
                <w:sz w:val="28"/>
                <w:szCs w:val="28"/>
                <w:lang w:eastAsia="zh-CN"/>
              </w:rPr>
              <w:t>出口退（免）税企业备案信息报告（生产企业委托代办退税备案）</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280" w:firstLineChars="1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val="en-US" w:eastAsia="zh-CN"/>
              </w:rPr>
              <w:t>其他行政权力</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w w:val="40"/>
                <w:sz w:val="21"/>
                <w:szCs w:val="21"/>
                <w:lang w:eastAsia="zh-CN"/>
              </w:rPr>
              <w:t>《出</w:t>
            </w:r>
            <w:r>
              <w:rPr>
                <w:rFonts w:hint="eastAsia" w:ascii="仿宋" w:hAnsi="仿宋" w:eastAsia="仿宋" w:cs="仿宋"/>
                <w:w w:val="50"/>
                <w:sz w:val="21"/>
                <w:szCs w:val="21"/>
                <w:lang w:eastAsia="zh-CN"/>
              </w:rPr>
              <w:t>口退（免）税备案表》及电子数据，加盖备案登记专用章的《对外贸易经营者备案登记表》，《国际船舶运输经营许可证》，经营范围包括“国际航空客货邮运输业务”的《公共航空运输企业经营许可证》或经营范围包括“公务飞行”的《通用航空经营许可证》，委托代理出口协议，《中华人民共和国海关报关单位注册登记证书》或加盖海关印章的《海关进出口货物收发货人备案回执》，《中华人民共和国外商投资企业批准证书》或《外商投资企业设立备案回执》，经营范围包括“国际运输”的《道路运输经营许可证》和《国际汽车运输行车许可证》，经营范围包括“许可经营项目：铁路客货运输”的《企业法人营业执照》或具有提供铁路客货运输服务资质的证明材料，《道路运输经营许可证》及持《道路运输证》的直通港澳运输车辆的物权证明，《台湾海峡两岸间水路运输许可证》及持《台湾海峡两岸间船舶营运证》船舶的物权证明，获得港澳线路运营许可船舶的物权证明，程租、期租和湿租合同或协议，经营范围包括“商业卫星发射服务”的《企业法人营业执照》或国家国防科技工业局颁发的《民用航天发射项目许可证》或具有提供商业卫星发射服务资质的证明材料，经营范围包括“国际、国内（含港澳）航空客货邮运输业务”的《公共航空运输企业经营许可证》或者经营范围包括“公务飞行”的《通用航空经营许可证，从事融资租赁业务资质证明，融资租赁合同，与省税务局签订的服务协议，变更项目的批准文件、证明材料，增值税零税率应税服务，应报送增值税零税率应税服务变更项目对应的资料，《企业撤回出口退（免）税备案未结清退（免）税确认书》，合并、分立、改制重组企业决议，合并、分立、改制重组企业章程，合并、分立、改制重组相关部门批件，承继撤回备案企业权利和义务的企业在撤回备案企业所在地的开户银行名称及账号，放弃未申报或已申报但尚未办理的出口退（免）税声明，《代办退税情况备案表》及电子数据，</w:t>
            </w:r>
            <w:r>
              <w:rPr>
                <w:rFonts w:hint="eastAsia" w:ascii="仿宋" w:hAnsi="仿宋" w:eastAsia="仿宋" w:cs="仿宋"/>
                <w:w w:val="40"/>
                <w:sz w:val="21"/>
                <w:szCs w:val="21"/>
                <w:lang w:eastAsia="zh-CN"/>
              </w:rPr>
              <w:t>代办退税账户，代办退税内部风险管控制度</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sz w:val="21"/>
                <w:szCs w:val="21"/>
                <w:lang w:eastAsia="zh-CN"/>
              </w:rPr>
              <w:t>《国家税务总局关于部分税务行政审批事项取消后有关管理问题的公告》（国家税务总局公告2015年第56号）第三条</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《国家税务总局关于发布〈融资租赁货物出口退税管理办法〉的公告》（国家税务总局公告2014年第56号）第二章第五条</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《国家税务总局关于调整完善外贸综合服务企业办理出口货物退（免）税有关事项的公告》（国家税务总局公告2017年第35号）第三条、第四条</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tcBorders>
              <w:top w:val="single" w:color="auto" w:sz="4" w:space="0"/>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cs="仿宋" w:eastAsiaTheme="minorEastAsia"/>
                <w:color w:val="auto"/>
                <w:kern w:val="2"/>
                <w:sz w:val="28"/>
                <w:szCs w:val="28"/>
                <w:lang w:val="en-US" w:eastAsia="zh-CN" w:bidi="ar-SA"/>
              </w:rPr>
            </w:pPr>
            <w:r>
              <w:rPr>
                <w:rFonts w:hint="eastAsia" w:ascii="仿宋" w:hAnsi="仿宋" w:cs="仿宋" w:eastAsiaTheme="minorEastAsia"/>
                <w:sz w:val="28"/>
                <w:szCs w:val="28"/>
                <w:lang w:eastAsia="zh-CN"/>
              </w:rPr>
              <w:t>其他出口退（免）税备案（集团公司成员企业备案）</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280" w:firstLineChars="1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val="en-US" w:eastAsia="zh-CN"/>
              </w:rPr>
              <w:t>其他行政权力</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sz w:val="21"/>
                <w:szCs w:val="21"/>
                <w:lang w:eastAsia="zh-CN"/>
              </w:rPr>
              <w:t>《免税品经营企业销售货物退税备案表》及电子数据</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sz w:val="21"/>
                <w:szCs w:val="21"/>
                <w:lang w:eastAsia="zh-CN"/>
              </w:rPr>
              <w:t>《国家税务总局关于部分税务行政审批事项取消后有关管理问题的公告》（国家税务总局公告2015年第56号）第三条</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《财政部　国家税务总局关于出口货物劳务增值税和消费税政策的通知》（财税〔2012〕39号）第一条第（二）项第3目</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60"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tcBorders>
              <w:top w:val="single" w:color="auto" w:sz="4" w:space="0"/>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cs="仿宋" w:eastAsiaTheme="minorEastAsia"/>
                <w:color w:val="auto"/>
                <w:kern w:val="2"/>
                <w:sz w:val="28"/>
                <w:szCs w:val="28"/>
                <w:lang w:val="en-US" w:eastAsia="zh-CN" w:bidi="ar-SA"/>
              </w:rPr>
            </w:pPr>
            <w:r>
              <w:rPr>
                <w:rFonts w:hint="eastAsia" w:ascii="仿宋" w:hAnsi="仿宋" w:cs="仿宋" w:eastAsiaTheme="minorEastAsia"/>
                <w:sz w:val="28"/>
                <w:szCs w:val="28"/>
                <w:lang w:eastAsia="zh-CN"/>
              </w:rPr>
              <w:t>出口退（免）税企业备案信息报告（外贸综合服务企业代办退税备案）</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280" w:firstLineChars="1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val="en-US" w:eastAsia="zh-CN"/>
              </w:rPr>
              <w:t>其他行政权力</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w w:val="33"/>
                <w:sz w:val="21"/>
                <w:szCs w:val="21"/>
                <w:lang w:eastAsia="zh-CN"/>
              </w:rPr>
              <w:t>《</w:t>
            </w:r>
            <w:r>
              <w:rPr>
                <w:rFonts w:hint="eastAsia" w:ascii="仿宋" w:hAnsi="仿宋" w:eastAsia="仿宋" w:cs="仿宋"/>
                <w:w w:val="80"/>
                <w:sz w:val="21"/>
                <w:szCs w:val="21"/>
                <w:lang w:eastAsia="zh-CN"/>
              </w:rPr>
              <w:t>出口退（免）税备案表》及电子数据，加盖备案登记专用章的《对外贸易经营者备案登记表》，《国际船舶运输经营许可证》，经营范围包括“国际航空客货邮运输业务”的《公共航空运输企业经营许可证》或经营范围包括“公务飞行”的《通用航空经营许可证》，委托代理出口协议，《中华人民共和国海关报关单位注册登记证书》或加盖海关印章的《海关进出口货物收发货人备案回执》，《中华人民共和国外商投资企业批准证书》或《外商投资企业设立备案回执》，经营范围包括“国际运输”的《道路运输经营许可证》和《国际汽车运输行车许可证》，经营范围包括“许可经营项目：铁路客货运输”的《企业法人营业执照》或具有提供铁路客货运输服务资质的证明材料，《道路运输经营许可证》及持《道路运输证》的直通港澳运输车辆的物权证明，《台湾海峡两岸间水路运输许可证》及持《台湾海峡两岸间船舶营运证》船舶的物权证明，获得港澳线路运营许可船舶的物权证明，程租、期租和湿租合同或协议，《技术出口合同登记证》，经营范围包括“国际、国内（含港澳）航空客货邮运输业务”的《公共航空运输企业经营许可证》或者经营范围包括“公务飞行”的《通用航空经营许可证》，经营范围包括“商业卫星发射服务”的《企业法人营业执照》或国家国防科技工业局颁发的《民用航天发射项目许可证》或具有提供商业卫星发射服务资质的证明材料，从事融资租赁业务资质证明，融资租赁合同，与省税务局签订的服务协议，变更项目的批准文件、证明材料，增值税零税率应税服务，应报送增值税零税率应税服务变更项目对应的资料，《企业撤回出口退（免）税备案未结清退（免）税确认书》，合并、分立、改制重组企业决议，合并、分立、改制重组企业章程，合并、分立、改制重组相关部门批件，承继撤回备案企业权利和义务的企业在撤回备案企业所在地的开户银行名称及账号，放弃未申报或已申报但尚未办理的出口退（免）税声明，《代办退税情况备案表》及电子数据，代办退税账户，代办退税内部风险管控制度</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sz w:val="21"/>
                <w:szCs w:val="21"/>
                <w:lang w:eastAsia="zh-CN"/>
              </w:rPr>
              <w:t>《国家税务总局关于部分税务行政审批事项取消后有关管理问题的公告》（国家税务总局公告2015年第56号）第三条</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《国家税务总局关于发布〈融资租赁货物出口退税管理办法〉的公告》（国家税务总局公告2014年第56号）第二章第五条</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《国家税务总局关于调整完善外贸综合服务企业办理出口货物退（免）税有关事项的公告》（国家税务总局公告2017年第35号）第三条、第四条</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tcBorders>
              <w:top w:val="single" w:color="auto" w:sz="4" w:space="0"/>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cs="仿宋" w:eastAsiaTheme="minorEastAsia"/>
                <w:color w:val="auto"/>
                <w:kern w:val="2"/>
                <w:sz w:val="28"/>
                <w:szCs w:val="28"/>
                <w:lang w:val="en-US" w:eastAsia="zh-CN" w:bidi="ar-SA"/>
              </w:rPr>
            </w:pPr>
            <w:r>
              <w:rPr>
                <w:rFonts w:hint="eastAsia" w:ascii="仿宋" w:hAnsi="仿宋" w:cs="仿宋" w:eastAsiaTheme="minorEastAsia"/>
                <w:sz w:val="28"/>
                <w:szCs w:val="28"/>
                <w:lang w:eastAsia="zh-CN"/>
              </w:rPr>
              <w:t>其他出口退（免）税备案（免税品经营企业销售货物退税备案）</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280" w:firstLineChars="1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val="en-US" w:eastAsia="zh-CN"/>
              </w:rPr>
              <w:t>其他行政权力</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sz w:val="21"/>
                <w:szCs w:val="21"/>
                <w:lang w:eastAsia="zh-CN"/>
              </w:rPr>
              <w:t>《免税品经营企业销售货物退税备案表》及电子数据</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sz w:val="21"/>
                <w:szCs w:val="21"/>
                <w:lang w:eastAsia="zh-CN"/>
              </w:rPr>
              <w:t>《国家税务总局关于部分税务行政审批事项取消后有关管理问题的公告》（国家税务总局公告2015年第56号）第三条</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《财政部　国家税务总局关于出口货物劳务增值税和消费税政策的通知》（财税〔2012〕39号）第一条第（二）项第3目</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20"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tcBorders>
              <w:top w:val="single" w:color="auto" w:sz="4" w:space="0"/>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cs="仿宋" w:eastAsiaTheme="minorEastAsia"/>
                <w:color w:val="auto"/>
                <w:kern w:val="2"/>
                <w:sz w:val="28"/>
                <w:szCs w:val="28"/>
                <w:lang w:val="en-US" w:eastAsia="zh-CN" w:bidi="ar-SA"/>
              </w:rPr>
            </w:pPr>
            <w:r>
              <w:rPr>
                <w:rFonts w:hint="eastAsia" w:ascii="仿宋" w:hAnsi="仿宋" w:cs="仿宋" w:eastAsiaTheme="minorEastAsia"/>
                <w:sz w:val="28"/>
                <w:szCs w:val="28"/>
                <w:lang w:eastAsia="zh-CN"/>
              </w:rPr>
              <w:t>出口企业放弃退（免）税报告</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280" w:firstLineChars="1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val="en-US" w:eastAsia="zh-CN"/>
              </w:rPr>
              <w:t>行政征收</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sz w:val="21"/>
                <w:szCs w:val="21"/>
                <w:lang w:eastAsia="zh-CN"/>
              </w:rPr>
              <w:t>《出口货物劳务放弃退（免）税声明》及电子数据，《出口货物劳务放弃免税权声明表》及电子数据，《放弃适用增值税零税率声明》及电子数据</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sz w:val="21"/>
                <w:szCs w:val="21"/>
                <w:lang w:eastAsia="zh-CN"/>
              </w:rPr>
              <w:t>1.《国家税务总局关于出口货物劳务增值税和消费税有关问题的公告》（国家税务总局公告2013年第65号）第二条</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2.《国家税务总局关于〈出口货物劳务增值税和消费税管理办法〉有关问题的公告》（国家税务总局公告2013年第12号）第三条第（六）项</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3.《国家税务总局关于发布〈适用增值税零税率应税服务退（免）税管理办法〉的公告》（国家税务总局公告2014年第11号）第二十条</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tcBorders>
              <w:top w:val="single" w:color="auto" w:sz="4" w:space="0"/>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cs="仿宋" w:eastAsiaTheme="minorEastAsia"/>
                <w:color w:val="auto"/>
                <w:kern w:val="2"/>
                <w:sz w:val="28"/>
                <w:szCs w:val="28"/>
                <w:lang w:val="en-US" w:eastAsia="zh-CN" w:bidi="ar-SA"/>
              </w:rPr>
            </w:pPr>
            <w:r>
              <w:rPr>
                <w:rFonts w:hint="eastAsia" w:ascii="仿宋" w:hAnsi="仿宋" w:cs="仿宋" w:eastAsiaTheme="minorEastAsia"/>
                <w:sz w:val="28"/>
                <w:szCs w:val="28"/>
                <w:lang w:eastAsia="zh-CN"/>
              </w:rPr>
              <w:t>出口退（免）税企业备案信息报告（出口退（免）税备案）</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280" w:firstLineChars="1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val="en-US" w:eastAsia="zh-CN"/>
              </w:rPr>
              <w:t>其他行政权力</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sz w:val="21"/>
                <w:szCs w:val="21"/>
              </w:rPr>
            </w:pPr>
            <w:r>
              <w:rPr>
                <w:rFonts w:hint="eastAsia" w:ascii="仿宋" w:hAnsi="仿宋" w:eastAsia="仿宋" w:cs="仿宋"/>
                <w:sz w:val="21"/>
                <w:szCs w:val="21"/>
                <w:lang w:eastAsia="zh-CN"/>
              </w:rPr>
              <w:t>《出口退（免）税备案表》及电子数据，加盖备案登记专用章的《对外贸易经营者备案登记表》，《国际船舶运输经营许可证》，经营范围包括“国际航空客货邮运输业务”的《公共航空运输企业经营许可证》或经营范围包括“公务飞行”的《通用航空经营许可证》，委托代理出口协议，《中华人民共和国海关报关单位注册登记证书》或加盖海关印章的《海关进出口货物收发货人备案回执》，《中华人民共和国外商投资企业批准证书》或《外商投资企业设立备案回执》，经营范围包括“国际运输”的《道路运输经营许可证》和《国际汽车运输行车许可证》，经营范围包括“许可经营项目：铁路客货运输”的《企业法人营业执照》或具有提供铁路客货运输服务资质的证明材料，《道路运输经营许可证》及持《道路运输证》的直通港澳运输车辆的物权证明，《台湾海峡两岸间水路运输许可证》及持《台湾海峡两岸间船舶营运证》船舶的物权证明，获得港澳线路运营许可船舶的物权证明，程租、期租和湿租合同或协议，《技术出口合同登记证》，经营范围包括“国际、国内（含港澳）航空客货邮运输业务”的《公共航空运输企业经营许可证》或者经营范围包括“公务飞行”的《通用航空经营许可证》，经营范围包括“商业卫星发射服务”的《企业法人营业执照》或国家国防科技工业局颁发的《民用航天发射项目许可证》或具有提供商业卫星发射服务资质的证明材料，从事融资租赁业务资质证明，融资租赁合同，与省税务局签订的服务协议，变更项目的批准文件、证明材料，增值税零税率应税服务，应报送增值税零税率应税服务变更项目对应的资料，《企业撤回出口退（免）税备案未结清退（免）税确认书》，合并、分立、改制重组企业决议，合并、分立、改制重组企业章程，合并、分立、改制重组相关部门批件，承继撤回备案企业权利和义务的企业在撤回备案企业所在地的开户银行名称及账号，放弃未申报或已申报但尚未办理的出口退（免）税声明，《代办退税情况备案表》及电子数据，代办退税账户，代办退税内部风险管控制度</w:t>
            </w: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2"/>
                <w:sz w:val="21"/>
                <w:szCs w:val="21"/>
                <w:lang w:val="en-US" w:eastAsia="zh-CN" w:bidi="ar-SA"/>
              </w:rPr>
            </w:pP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sz w:val="21"/>
                <w:szCs w:val="21"/>
                <w:lang w:eastAsia="zh-CN"/>
              </w:rPr>
              <w:t>《国家税务总局关于部分税务行政审批事项取消后有关管理问题的公告》（国家税务总局公告2015年第56号）第三条</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《国家税务总局关于发布〈融资租赁货物出口退税管理办法〉的公告》（国家税务总局公告2014年第56号）第二章第五条</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《国家税务总局关于调整完善外贸综合服务企业办理出口货物退（免）税有关事项的公告》（国家税务总局公告2017年第35号）第三条、第四条</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tcBorders>
              <w:top w:val="single" w:color="auto" w:sz="4" w:space="0"/>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cs="仿宋" w:eastAsiaTheme="minorEastAsia"/>
                <w:color w:val="auto"/>
                <w:kern w:val="2"/>
                <w:sz w:val="28"/>
                <w:szCs w:val="28"/>
                <w:lang w:val="en-US" w:eastAsia="zh-CN" w:bidi="ar-SA"/>
              </w:rPr>
            </w:pPr>
            <w:r>
              <w:rPr>
                <w:rFonts w:hint="eastAsia" w:ascii="仿宋" w:hAnsi="仿宋" w:cs="仿宋" w:eastAsiaTheme="minorEastAsia"/>
                <w:sz w:val="28"/>
                <w:szCs w:val="28"/>
                <w:lang w:eastAsia="zh-CN"/>
              </w:rPr>
              <w:t>关联业务往来年度报告申报</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280" w:firstLineChars="1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val="en-US" w:eastAsia="zh-CN"/>
              </w:rPr>
              <w:t>行政征收</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sz w:val="21"/>
                <w:szCs w:val="21"/>
                <w:lang w:eastAsia="zh-CN"/>
              </w:rPr>
              <w:t>《中华人民共和国企业年度关联业务往来报告表（2016 年版）</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sz w:val="21"/>
                <w:szCs w:val="21"/>
                <w:lang w:eastAsia="zh-CN"/>
              </w:rPr>
              <w:t>1</w:t>
            </w:r>
            <w:r>
              <w:rPr>
                <w:rFonts w:hint="eastAsia" w:ascii="仿宋" w:hAnsi="仿宋" w:eastAsia="仿宋" w:cs="仿宋"/>
                <w:b w:val="0"/>
                <w:bCs w:val="0"/>
                <w:w w:val="80"/>
                <w:sz w:val="21"/>
                <w:szCs w:val="21"/>
                <w:lang w:eastAsia="zh-CN"/>
              </w:rPr>
              <w:t>.《中华人民共和国税收征收管理法》第二十五条第一款</w:t>
            </w:r>
            <w:r>
              <w:rPr>
                <w:rFonts w:hint="eastAsia" w:ascii="仿宋" w:hAnsi="仿宋" w:eastAsia="仿宋" w:cs="仿宋"/>
                <w:b w:val="0"/>
                <w:bCs w:val="0"/>
                <w:w w:val="80"/>
                <w:sz w:val="21"/>
                <w:szCs w:val="21"/>
                <w:lang w:eastAsia="zh-CN"/>
              </w:rPr>
              <w:br w:type="textWrapping"/>
            </w:r>
            <w:r>
              <w:rPr>
                <w:rFonts w:hint="eastAsia" w:ascii="仿宋" w:hAnsi="仿宋" w:eastAsia="仿宋" w:cs="仿宋"/>
                <w:b w:val="0"/>
                <w:bCs w:val="0"/>
                <w:w w:val="80"/>
                <w:sz w:val="21"/>
                <w:szCs w:val="21"/>
                <w:lang w:eastAsia="zh-CN"/>
              </w:rPr>
              <w:t>2.《中华人民共和国企业所得税法》第四十三条</w:t>
            </w:r>
            <w:r>
              <w:rPr>
                <w:rFonts w:hint="eastAsia" w:ascii="仿宋" w:hAnsi="仿宋" w:eastAsia="仿宋" w:cs="仿宋"/>
                <w:b w:val="0"/>
                <w:bCs w:val="0"/>
                <w:w w:val="80"/>
                <w:sz w:val="21"/>
                <w:szCs w:val="21"/>
                <w:lang w:eastAsia="zh-CN"/>
              </w:rPr>
              <w:br w:type="textWrapping"/>
            </w:r>
            <w:r>
              <w:rPr>
                <w:rFonts w:hint="eastAsia" w:ascii="仿宋" w:hAnsi="仿宋" w:eastAsia="仿宋" w:cs="仿宋"/>
                <w:b w:val="0"/>
                <w:bCs w:val="0"/>
                <w:w w:val="80"/>
                <w:sz w:val="21"/>
                <w:szCs w:val="21"/>
                <w:lang w:eastAsia="zh-CN"/>
              </w:rPr>
              <w:t>3.《国家税务总局关于完善关联申报和同期资料管理有关事项的公告》（国</w:t>
            </w:r>
            <w:r>
              <w:rPr>
                <w:rFonts w:hint="eastAsia" w:ascii="仿宋" w:hAnsi="仿宋" w:eastAsia="仿宋" w:cs="仿宋"/>
                <w:b w:val="0"/>
                <w:bCs w:val="0"/>
                <w:w w:val="80"/>
                <w:sz w:val="21"/>
                <w:szCs w:val="21"/>
                <w:lang w:eastAsia="zh-CN"/>
              </w:rPr>
              <w:br w:type="textWrapping"/>
            </w:r>
            <w:r>
              <w:rPr>
                <w:rFonts w:hint="eastAsia" w:ascii="仿宋" w:hAnsi="仿宋" w:eastAsia="仿宋" w:cs="仿宋"/>
                <w:b w:val="0"/>
                <w:bCs w:val="0"/>
                <w:w w:val="80"/>
                <w:sz w:val="21"/>
                <w:szCs w:val="21"/>
                <w:lang w:eastAsia="zh-CN"/>
              </w:rPr>
              <w:t>家税务总局公告2016 年第42 号）第一条</w:t>
            </w:r>
            <w:r>
              <w:rPr>
                <w:rFonts w:hint="eastAsia" w:ascii="仿宋" w:hAnsi="仿宋" w:eastAsia="仿宋" w:cs="仿宋"/>
                <w:b w:val="0"/>
                <w:bCs w:val="0"/>
                <w:w w:val="80"/>
                <w:sz w:val="21"/>
                <w:szCs w:val="21"/>
                <w:lang w:eastAsia="zh-CN"/>
              </w:rPr>
              <w:br w:type="textWrapping"/>
            </w:r>
            <w:r>
              <w:rPr>
                <w:rFonts w:hint="eastAsia" w:ascii="仿宋" w:hAnsi="仿宋" w:eastAsia="仿宋" w:cs="仿宋"/>
                <w:b w:val="0"/>
                <w:bCs w:val="0"/>
                <w:w w:val="80"/>
                <w:sz w:val="21"/>
                <w:szCs w:val="21"/>
                <w:lang w:eastAsia="zh-CN"/>
              </w:rPr>
              <w:t>4.《国家税务总局关于规范成本分摊协议管理的公告》（国家税务总局公告</w:t>
            </w:r>
            <w:r>
              <w:rPr>
                <w:rFonts w:hint="eastAsia" w:ascii="仿宋" w:hAnsi="仿宋" w:eastAsia="仿宋" w:cs="仿宋"/>
                <w:b w:val="0"/>
                <w:bCs w:val="0"/>
                <w:w w:val="80"/>
                <w:sz w:val="21"/>
                <w:szCs w:val="21"/>
                <w:lang w:eastAsia="zh-CN"/>
              </w:rPr>
              <w:br w:type="textWrapping"/>
            </w:r>
            <w:r>
              <w:rPr>
                <w:rFonts w:hint="eastAsia" w:ascii="仿宋" w:hAnsi="仿宋" w:eastAsia="仿宋" w:cs="仿宋"/>
                <w:b w:val="0"/>
                <w:bCs w:val="0"/>
                <w:w w:val="80"/>
                <w:sz w:val="21"/>
                <w:szCs w:val="21"/>
                <w:lang w:eastAsia="zh-CN"/>
              </w:rPr>
              <w:t>2015 年第45 号）第一条</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80"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tcBorders>
              <w:top w:val="single" w:color="auto" w:sz="4" w:space="0"/>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cs="仿宋" w:eastAsiaTheme="minorEastAsia"/>
                <w:color w:val="auto"/>
                <w:kern w:val="2"/>
                <w:sz w:val="28"/>
                <w:szCs w:val="28"/>
                <w:lang w:val="en-US" w:eastAsia="zh-CN" w:bidi="ar-SA"/>
              </w:rPr>
            </w:pPr>
            <w:r>
              <w:rPr>
                <w:rFonts w:hint="eastAsia" w:ascii="仿宋" w:hAnsi="仿宋" w:cs="仿宋" w:eastAsiaTheme="minorEastAsia"/>
                <w:sz w:val="28"/>
                <w:szCs w:val="28"/>
                <w:lang w:eastAsia="zh-CN"/>
              </w:rPr>
              <w:t>扣缴企业所得税报告</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280" w:firstLineChars="1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val="en-US" w:eastAsia="zh-CN"/>
              </w:rPr>
              <w:t>行政征收</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sz w:val="21"/>
                <w:szCs w:val="21"/>
                <w:lang w:eastAsia="zh-CN"/>
              </w:rPr>
              <w:t>《中华人民共和国扣缴企业所得税报告表（2019 年版）》，与应扣缴税款有关的合同和其他相关资料</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w w:val="50"/>
                <w:sz w:val="21"/>
                <w:szCs w:val="21"/>
                <w:lang w:eastAsia="zh-CN"/>
              </w:rPr>
              <w:t>《中华人民共和国企业所得税法》（中华人民共和国主席令第63号）</w:t>
            </w:r>
            <w:r>
              <w:rPr>
                <w:rFonts w:hint="eastAsia" w:ascii="仿宋" w:hAnsi="仿宋" w:eastAsia="仿宋" w:cs="仿宋"/>
                <w:b w:val="0"/>
                <w:bCs w:val="0"/>
                <w:w w:val="50"/>
                <w:sz w:val="21"/>
                <w:szCs w:val="21"/>
                <w:lang w:eastAsia="zh-CN"/>
              </w:rPr>
              <w:br w:type="textWrapping"/>
            </w:r>
            <w:r>
              <w:rPr>
                <w:rFonts w:hint="eastAsia" w:ascii="仿宋" w:hAnsi="仿宋" w:eastAsia="仿宋" w:cs="仿宋"/>
                <w:b w:val="0"/>
                <w:bCs w:val="0"/>
                <w:w w:val="50"/>
                <w:sz w:val="21"/>
                <w:szCs w:val="21"/>
                <w:lang w:eastAsia="zh-CN"/>
              </w:rPr>
              <w:t>《中华人民共和国企业所得税法实施条例》（中华人民共和国国务院令第512号）</w:t>
            </w:r>
            <w:r>
              <w:rPr>
                <w:rFonts w:hint="eastAsia" w:ascii="仿宋" w:hAnsi="仿宋" w:eastAsia="仿宋" w:cs="仿宋"/>
                <w:b w:val="0"/>
                <w:bCs w:val="0"/>
                <w:w w:val="50"/>
                <w:sz w:val="21"/>
                <w:szCs w:val="21"/>
                <w:lang w:eastAsia="zh-CN"/>
              </w:rPr>
              <w:br w:type="textWrapping"/>
            </w:r>
            <w:r>
              <w:rPr>
                <w:rFonts w:hint="eastAsia" w:ascii="仿宋" w:hAnsi="仿宋" w:eastAsia="仿宋" w:cs="仿宋"/>
                <w:b w:val="0"/>
                <w:bCs w:val="0"/>
                <w:w w:val="50"/>
                <w:sz w:val="21"/>
                <w:szCs w:val="21"/>
                <w:lang w:eastAsia="zh-CN"/>
              </w:rPr>
              <w:t>《国家税务总局关于非居民企业所得税源泉扣缴有关问题的公告》（国家税务总局公告2017年第37号）</w:t>
            </w:r>
            <w:r>
              <w:rPr>
                <w:rFonts w:hint="eastAsia" w:ascii="仿宋" w:hAnsi="仿宋" w:eastAsia="仿宋" w:cs="仿宋"/>
                <w:b w:val="0"/>
                <w:bCs w:val="0"/>
                <w:w w:val="50"/>
                <w:sz w:val="21"/>
                <w:szCs w:val="21"/>
                <w:lang w:eastAsia="zh-CN"/>
              </w:rPr>
              <w:br w:type="textWrapping"/>
            </w:r>
            <w:r>
              <w:rPr>
                <w:rFonts w:hint="eastAsia" w:ascii="仿宋" w:hAnsi="仿宋" w:eastAsia="仿宋" w:cs="仿宋"/>
                <w:b w:val="0"/>
                <w:bCs w:val="0"/>
                <w:w w:val="50"/>
                <w:sz w:val="21"/>
                <w:szCs w:val="21"/>
                <w:lang w:eastAsia="zh-CN"/>
              </w:rPr>
              <w:t>《非居民承包工程作业和提供劳务税收管理暂行办法》（国家税务总局令第19号）</w:t>
            </w:r>
            <w:r>
              <w:rPr>
                <w:rFonts w:hint="eastAsia" w:ascii="仿宋" w:hAnsi="仿宋" w:eastAsia="仿宋" w:cs="仿宋"/>
                <w:b w:val="0"/>
                <w:bCs w:val="0"/>
                <w:w w:val="50"/>
                <w:sz w:val="21"/>
                <w:szCs w:val="21"/>
                <w:lang w:eastAsia="zh-CN"/>
              </w:rPr>
              <w:br w:type="textWrapping"/>
            </w:r>
            <w:r>
              <w:rPr>
                <w:rFonts w:hint="eastAsia" w:ascii="仿宋" w:hAnsi="仿宋" w:eastAsia="仿宋" w:cs="仿宋"/>
                <w:b w:val="0"/>
                <w:bCs w:val="0"/>
                <w:w w:val="50"/>
                <w:sz w:val="21"/>
                <w:szCs w:val="21"/>
                <w:lang w:eastAsia="zh-CN"/>
              </w:rPr>
              <w:t>《中华人民共和国非居民企业所得税预缴申报表（2019年版）》等报表的公告（国家税务总局公告2019年第16号）</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34"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tcBorders>
              <w:top w:val="single" w:color="auto" w:sz="4" w:space="0"/>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cs="仿宋" w:eastAsiaTheme="minorEastAsia"/>
                <w:color w:val="auto"/>
                <w:kern w:val="2"/>
                <w:sz w:val="28"/>
                <w:szCs w:val="28"/>
                <w:lang w:val="en-US" w:eastAsia="zh-CN" w:bidi="ar-SA"/>
              </w:rPr>
            </w:pPr>
            <w:r>
              <w:rPr>
                <w:rFonts w:hint="eastAsia" w:ascii="仿宋" w:hAnsi="仿宋" w:cs="仿宋" w:eastAsiaTheme="minorEastAsia"/>
                <w:sz w:val="28"/>
                <w:szCs w:val="28"/>
                <w:lang w:eastAsia="zh-CN"/>
              </w:rPr>
              <w:t>非居民企业所得税年度纳税申报（适用核定征收）及不构成常设机构和国际运输免税申报</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280" w:firstLineChars="1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val="en-US" w:eastAsia="zh-CN"/>
              </w:rPr>
              <w:t>行政征收</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sz w:val="21"/>
                <w:szCs w:val="21"/>
                <w:lang w:eastAsia="zh-CN"/>
              </w:rPr>
              <w:t>《中华人民共和国企业所得税月（季）度预缴和年度纳税申报表（B 类，2018 年版）》</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sz w:val="21"/>
                <w:szCs w:val="21"/>
                <w:lang w:eastAsia="zh-CN"/>
              </w:rPr>
              <w:t>《中华人民共和国税收征收管理法》（中华人民共和国主席令第49号）第二十五条第一款</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《中华人民共和国税收征收管理法实施细则》（国务院令第362号）</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《中华人民共和国企业所得税法》（中华人民共和国主席令第63号）第一条、第五十四条</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《税收票证管理办法》（国家税务总局令第28号）</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《国家税务总局关于印发〈企业所得税核定征收办法〉（试行）的通知》（国税发〔2008〕30号）</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《国家税务总局印发〈企业所得税汇算清缴管理办法〉的通知》（国税发〔2009〕79号）</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《国家税务总局关于企业所得税核定征收若干问题的通知》（国税函〔2009〕377号）</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《国家税务总局关于企业所得税核定征收有关问题的公告》（国家税务总局公告2012年第27号）</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《国家税务总局关于实施〈税收票证管理办法〉若干问题的公告》（国家税务总局公告2013年第34号）</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《国家税务总局关于居民企业报告境外投资和所得信息有关问题的公告》（国家税务总局公告2014年第38号）</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《国家税务总局关于做好居民企业报告境外投资和所得信息工作的通知》（税总函〔2015〕327号 ）</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《国家税务总局关于发布〈中华人民共和国企业所得税月（季）度预缴纳税申报表（2018年版）等报表〉的公告》（国家税务总局公告2018年第26号）</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《国家税务总局关于修订〈中华人民共和国企业所得税月（季）度预缴纳税申报表（A类，2018年版）〉等部分表单样式及填报说明的公告》（国家税务总局公告2019年第3号）</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《国家税务总局 关于修订2018年版企业所得税预缴纳税申报表部分表单及填报说明的公告》（国家税务总局公告2019年第23号）</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tcBorders>
              <w:top w:val="single" w:color="auto" w:sz="4" w:space="0"/>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cs="仿宋" w:eastAsiaTheme="minorEastAsia"/>
                <w:color w:val="auto"/>
                <w:kern w:val="2"/>
                <w:sz w:val="28"/>
                <w:szCs w:val="28"/>
                <w:lang w:val="en-US" w:eastAsia="zh-CN" w:bidi="ar-SA"/>
              </w:rPr>
            </w:pPr>
            <w:r>
              <w:rPr>
                <w:rFonts w:hint="eastAsia" w:ascii="仿宋" w:hAnsi="仿宋" w:cs="仿宋" w:eastAsiaTheme="minorEastAsia"/>
                <w:sz w:val="28"/>
                <w:szCs w:val="28"/>
                <w:lang w:eastAsia="zh-CN"/>
              </w:rPr>
              <w:t>非居民企业企业所得税预缴申报</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280" w:firstLineChars="1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val="en-US" w:eastAsia="zh-CN"/>
              </w:rPr>
              <w:t>行政征收</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sz w:val="21"/>
                <w:szCs w:val="21"/>
                <w:lang w:eastAsia="zh-CN"/>
              </w:rPr>
              <w:t>《中华人民共和国非居民企业所得税预缴申报表（2019年版）》，《非居民企业机构、场所汇总缴纳所得税税款分配表》，《非居民企业机构、场所核定计算明细表》，季度财务报表，工程作业（劳务）决算（结算）报告或其他说明材料，参与工程作业或劳务项目外籍人员姓名、国籍、出入境时间、在华工作时间、地点、内容、报酬标准、支付方式、相关费用等情况的书面报告，财务会计报告或财务情况说明，《居民企业参股外国企业信息报告表》</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sz w:val="21"/>
                <w:szCs w:val="21"/>
                <w:lang w:eastAsia="zh-CN"/>
              </w:rPr>
              <w:t>1.《中华人民共和国税收征收管理法》第二十五条第一款</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2.《中华人民共和国企业所得税法》第三条、第五十四条第二款</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tcBorders>
              <w:top w:val="single" w:color="auto" w:sz="4" w:space="0"/>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cs="仿宋" w:eastAsiaTheme="minorEastAsia"/>
                <w:color w:val="auto"/>
                <w:kern w:val="2"/>
                <w:sz w:val="28"/>
                <w:szCs w:val="28"/>
                <w:lang w:val="en-US" w:eastAsia="zh-CN" w:bidi="ar-SA"/>
              </w:rPr>
            </w:pPr>
            <w:r>
              <w:rPr>
                <w:rFonts w:hint="eastAsia" w:ascii="仿宋" w:hAnsi="仿宋" w:cs="仿宋" w:eastAsiaTheme="minorEastAsia"/>
                <w:sz w:val="28"/>
                <w:szCs w:val="28"/>
                <w:lang w:eastAsia="zh-CN"/>
              </w:rPr>
              <w:t>非居民企业所得税季度纳税申报（适用据实申报）</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280" w:firstLineChars="1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val="en-US" w:eastAsia="zh-CN"/>
              </w:rPr>
              <w:t>行政征收</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中华人民共和国非居民企业所得税年度纳税申报表（2019年版）》，《纳税调整项目明细表》，《非居民企业机构、场所核定计算明细表》，《企业所得税弥补亏损明细表》，《对外合作开采石油企业勘探开发费用年度明细表》，</w:t>
            </w: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sz w:val="21"/>
                <w:szCs w:val="21"/>
                <w:lang w:eastAsia="zh-CN"/>
              </w:rPr>
              <w:t>《非居民企业机构、场所汇总缴纳所得税税款分配表》，《海上油气生产设施弃置费情况表》，工程作业（劳务）决算（结算）报告或其他说明材料，参与工程作业或劳务项目外籍人员姓名、国籍、出入境时间、在华工作时间、地点、内容、报酬标准、支付方式、相关费用等情况的书面报告，《受控外国企业信息报告表》，按照中国会计制度编报的年度独立财务报表，房地产开发企业成本对象管理专项报告</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sz w:val="21"/>
                <w:szCs w:val="21"/>
                <w:lang w:eastAsia="zh-CN"/>
              </w:rPr>
              <w:t>1.《中华人民共和国税收征收管理法》第二十五条第一款</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2.《中华人民共和国企业所得税法》第三条、第五十四条第三款、第五十五条第一款</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tcBorders>
              <w:top w:val="single" w:color="auto" w:sz="4" w:space="0"/>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cs="仿宋" w:eastAsiaTheme="minorEastAsia"/>
                <w:color w:val="auto"/>
                <w:kern w:val="2"/>
                <w:sz w:val="28"/>
                <w:szCs w:val="28"/>
                <w:lang w:val="en-US" w:eastAsia="zh-CN" w:bidi="ar-SA"/>
              </w:rPr>
            </w:pPr>
            <w:r>
              <w:rPr>
                <w:rFonts w:hint="eastAsia" w:ascii="仿宋" w:hAnsi="仿宋" w:cs="仿宋" w:eastAsiaTheme="minorEastAsia"/>
                <w:sz w:val="28"/>
                <w:szCs w:val="28"/>
                <w:lang w:eastAsia="zh-CN"/>
              </w:rPr>
              <w:t>非居民企业所得税年度纳税申报（适用据实申报）</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280" w:firstLineChars="1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val="en-US" w:eastAsia="zh-CN"/>
              </w:rPr>
              <w:t>行政征收</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sz w:val="21"/>
                <w:szCs w:val="21"/>
                <w:lang w:eastAsia="zh-CN"/>
              </w:rPr>
              <w:t>《中华人民共和国非居民企业所得税年度纳税申报表（2019年版）》，《纳税调整项目明细表》，《非居民企业机构、场所核定计算明细表》，《企业所得税弥补亏损明细表》，《对外合作开采石油企业勘探开发费用年度明细表》，《非居民企业机构、场所汇总缴纳所得税税款分配表》，《海上油气生产设施弃置费情况表》，工程作业（劳务）决算（结算）报告或其他说明材料，参与工程作业或劳务项目外籍人员姓名、国籍、出入境时间、在华工作时间、地点、内容、报酬标准、支付方式、相关费用等情况的书面报告，《受控外国企业信息报告表》，按照中国会计制度编报的年度独立财务报表，房地产开发企业成本对象管理专项报告</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sz w:val="21"/>
                <w:szCs w:val="21"/>
                <w:lang w:eastAsia="zh-CN"/>
              </w:rPr>
              <w:t>1.《中华人民共和国税收征收管理法》第二十五条第一款</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2.《中华人民共和国企业所得税法》第三条、第五十四条第三款、第五十五条第一款</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tcBorders>
              <w:top w:val="single" w:color="auto" w:sz="4" w:space="0"/>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cs="仿宋" w:eastAsiaTheme="minorEastAsia"/>
                <w:color w:val="auto"/>
                <w:kern w:val="2"/>
                <w:sz w:val="28"/>
                <w:szCs w:val="28"/>
                <w:lang w:val="en-US" w:eastAsia="zh-CN" w:bidi="ar-SA"/>
              </w:rPr>
            </w:pPr>
            <w:r>
              <w:rPr>
                <w:rFonts w:hint="eastAsia" w:ascii="仿宋" w:hAnsi="仿宋" w:cs="仿宋" w:eastAsiaTheme="minorEastAsia"/>
                <w:sz w:val="28"/>
                <w:szCs w:val="28"/>
                <w:lang w:eastAsia="zh-CN"/>
              </w:rPr>
              <w:t>非居民企业所得税季度纳税申报（适用核定征收）及不构成常设机构和国际运输免税申报</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280" w:firstLineChars="1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val="en-US" w:eastAsia="zh-CN"/>
              </w:rPr>
              <w:t>行政征收</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sz w:val="21"/>
                <w:szCs w:val="21"/>
                <w:lang w:eastAsia="zh-CN"/>
              </w:rPr>
              <w:t>《中华人民共和国企业所得税月（季）度预缴和年度纳税申报表（B 类，2018 年版）》，《居民企业参股外国企业信息报告表》</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sz w:val="21"/>
                <w:szCs w:val="21"/>
                <w:lang w:eastAsia="zh-CN"/>
              </w:rPr>
              <w:t>《中华人民共和国税收征收管理法》（中华人民共和国主席令第49号）第二十五条第一款</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《中华人民共和国税收征收管理法实施细则》（国务院令第362号）</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《中华人民共和国企业所得税法》（中华人民共和国主席令第63号）第一条、第五十四条</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《税收票证管理办法》（国家税务总局令第28号）</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《国家税务总局关于印发〈企业所得税核定征收办法〉（试行）的通知》（国税发〔2008〕30号）</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《国家税务总局印发〈企业所得税汇算清缴管理办法〉的通知》（国税发〔2009〕79号）</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《国家税务总局关于企业所得税核定征收若干问题的通知》（国税函〔2009〕377号）</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《国家税务总局关于企业所得税核定征收有关问题的公告》（国家税务总局公告2012年第27号）</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《国家税务总局关于实施〈税收票证管理办法〉若干问题的公告》（国家税务总局公告2013年第34号）</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《国家税务总局关于居民企业报告境外投资和所得信息有关问题的公告》（国家税务总局公告2014年第38号）</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《国家税务总局关于发布〈中华人民共和国企业所得税月（季）度预缴纳税申报表（2018年版）等报表〉的公告》（国家税务总局公告2018年第26号）</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国家税务总局关于修订2018年版企业所得税预缴纳税申报表部分表单及填报说明的公告（国家税务总局公告2019年第23号）</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《国家税务总局关于修订〈中华人民共和国企业所得税月（季）度预缴纳税申报表（A类，2018年版）〉等部分表单样式及填报说明的公告》（国家税务总局公告2019年第3号）</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auto" w:sz="4"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tcBorders>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cs="仿宋" w:eastAsiaTheme="minorEastAsia"/>
                <w:color w:val="auto"/>
                <w:kern w:val="2"/>
                <w:sz w:val="28"/>
                <w:szCs w:val="28"/>
                <w:lang w:val="en-US" w:eastAsia="zh-CN" w:bidi="ar-SA"/>
              </w:rPr>
            </w:pPr>
            <w:r>
              <w:rPr>
                <w:rFonts w:hint="eastAsia" w:ascii="仿宋" w:hAnsi="仿宋" w:cs="仿宋" w:eastAsiaTheme="minorEastAsia"/>
                <w:sz w:val="28"/>
                <w:szCs w:val="28"/>
                <w:lang w:eastAsia="zh-CN"/>
              </w:rPr>
              <w:t>非居民企业企业所得税年度申报</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280" w:firstLineChars="100"/>
              <w:jc w:val="both"/>
              <w:textAlignment w:val="auto"/>
              <w:rPr>
                <w:rFonts w:hint="eastAsia" w:ascii="仿宋" w:hAnsi="仿宋" w:eastAsia="仿宋" w:cs="仿宋"/>
                <w:color w:val="auto"/>
                <w:kern w:val="2"/>
                <w:sz w:val="28"/>
                <w:szCs w:val="28"/>
                <w:lang w:val="en-US" w:eastAsia="zh-CN" w:bidi="ar-SA"/>
              </w:rPr>
            </w:pP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sz w:val="21"/>
                <w:szCs w:val="21"/>
                <w:lang w:val="en-US" w:eastAsia="zh-CN"/>
              </w:rPr>
              <w:t>《中华人民共和国非居民企业所得税年度纳税申报表（2019年版）》，</w:t>
            </w:r>
            <w:r>
              <w:rPr>
                <w:rFonts w:hint="eastAsia" w:ascii="仿宋" w:hAnsi="仿宋" w:eastAsia="仿宋" w:cs="仿宋"/>
                <w:sz w:val="21"/>
                <w:szCs w:val="21"/>
                <w:lang w:eastAsia="zh-CN"/>
              </w:rPr>
              <w:t>《纳税调整项目明细表》，《非居民企业机构、场所核定计算明细表》，《企业所得税弥补亏损明细表》，《对外合作开采石油企业勘探开发费用年度明细表》，《非居民企业机构、场所汇总缴纳所得税税款分配表》，《海上油气生产设施弃置费情况表》，工程作业（劳务）决算（结算）报告或其他说明材料，参与工程作业或劳务项目外籍人员姓名、国籍、出入境时间、在华工作时间、地点、内容、报酬标准、支付方式、相关费用等情况的书面报告，《受控外国企业信息报告表》，按照中国会计制度编报的年度独立财务报表，房地产开发企业成本对象管理专项报告</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sz w:val="21"/>
                <w:szCs w:val="21"/>
                <w:lang w:eastAsia="zh-CN"/>
              </w:rPr>
              <w:t>1.《中华人民共和国税收征收管理法》第二十五条第一款</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2.《中华人民共和国企业所得税法》第三条、第五十四条第三款、第五十五条第一款</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000000" w:sz="2"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保留</w:t>
            </w:r>
          </w:p>
        </w:tc>
        <w:tc>
          <w:tcPr>
            <w:tcW w:w="2159" w:type="dxa"/>
            <w:tcBorders>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tcBorders>
              <w:top w:val="single" w:color="auto" w:sz="4" w:space="0"/>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cs="仿宋" w:eastAsiaTheme="minorEastAsia"/>
                <w:color w:val="auto"/>
                <w:kern w:val="2"/>
                <w:sz w:val="28"/>
                <w:szCs w:val="28"/>
                <w:lang w:val="en-US" w:eastAsia="zh-CN" w:bidi="ar-SA"/>
              </w:rPr>
            </w:pPr>
            <w:r>
              <w:rPr>
                <w:rFonts w:hint="eastAsia" w:ascii="仿宋" w:hAnsi="仿宋" w:cs="仿宋" w:eastAsiaTheme="minorEastAsia"/>
                <w:sz w:val="28"/>
                <w:szCs w:val="28"/>
                <w:lang w:eastAsia="zh-CN"/>
              </w:rPr>
              <w:t>软件产品增值税即征即退进项分摊方式资料报送与信息报告</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280" w:firstLineChars="1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val="en-US" w:eastAsia="zh-CN"/>
              </w:rPr>
              <w:t>公共服务</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sz w:val="21"/>
                <w:szCs w:val="21"/>
                <w:lang w:val="en-US" w:eastAsia="zh-CN"/>
              </w:rPr>
              <w:t>纳税人进项税额分摊方式备案报告，加载统一社会信用代码的营业执照（或税务登记证、 组织机构代码证等） 原件</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sz w:val="21"/>
                <w:szCs w:val="21"/>
                <w:lang w:eastAsia="zh-CN"/>
              </w:rPr>
              <w:t>《财政部国家税务总局关于软件产品增值税政策的通知》（财税〔2011〕100 号）第六条</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tcBorders>
              <w:top w:val="single" w:color="auto" w:sz="4" w:space="0"/>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cs="仿宋" w:eastAsiaTheme="minorEastAsia"/>
                <w:color w:val="auto"/>
                <w:kern w:val="2"/>
                <w:sz w:val="28"/>
                <w:szCs w:val="28"/>
                <w:lang w:val="en-US" w:eastAsia="zh-CN" w:bidi="ar-SA"/>
              </w:rPr>
            </w:pPr>
            <w:r>
              <w:rPr>
                <w:rFonts w:hint="eastAsia" w:ascii="仿宋" w:hAnsi="仿宋" w:cs="仿宋" w:eastAsiaTheme="minorEastAsia"/>
                <w:sz w:val="28"/>
                <w:szCs w:val="28"/>
                <w:lang w:eastAsia="zh-CN"/>
              </w:rPr>
              <w:t>发票遗失、损毁报告</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280" w:firstLineChars="1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val="en-US" w:eastAsia="zh-CN"/>
              </w:rPr>
              <w:t>公共服务</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sz w:val="21"/>
                <w:szCs w:val="21"/>
                <w:lang w:val="en-US" w:eastAsia="zh-CN"/>
              </w:rPr>
              <w:t>《发票挂失/损毁报告表》</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sz w:val="21"/>
                <w:szCs w:val="21"/>
                <w:lang w:eastAsia="zh-CN"/>
              </w:rPr>
              <w:t>《国务院关于修改中华人民共和国发票管理办法的决定》（中华人民共和国国务院令第587号）</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《国家税务总局关于简化增值税发票领用和使用程序有关问题的公告》（国家税务总局公告2014年第19号）</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《国家税务总局关于停止使用货物运输业增值税专用发票有关问题的公告》（国家税务总局公告2015年第99号）</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《国家税务总局关于被盗、丢失增值税专用发票有关问题的公告》（国家税务总局公告2016年第50号）</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《国家税务总局关于消费者丢失机动车销售发票处理问题的批复》（国税函〔2006〕227号）</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tcBorders>
              <w:top w:val="single" w:color="auto" w:sz="4" w:space="0"/>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cs="仿宋" w:eastAsiaTheme="minorEastAsia"/>
                <w:color w:val="auto"/>
                <w:kern w:val="2"/>
                <w:sz w:val="28"/>
                <w:szCs w:val="28"/>
                <w:lang w:val="en-US" w:eastAsia="zh-CN" w:bidi="ar-SA"/>
              </w:rPr>
            </w:pPr>
            <w:r>
              <w:rPr>
                <w:rFonts w:hint="eastAsia" w:ascii="仿宋" w:hAnsi="仿宋" w:cs="仿宋" w:eastAsiaTheme="minorEastAsia"/>
                <w:sz w:val="28"/>
                <w:szCs w:val="28"/>
                <w:lang w:eastAsia="zh-CN"/>
              </w:rPr>
              <w:t>红字增值税专用发票开具申请</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280" w:firstLineChars="1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val="en-US" w:eastAsia="zh-CN"/>
              </w:rPr>
              <w:t>公共服务</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sz w:val="21"/>
                <w:szCs w:val="21"/>
                <w:lang w:val="en-US" w:eastAsia="zh-CN"/>
              </w:rPr>
              <w:t>《开具红字增值税专用发票信息表》，《作废红字发票信息表申请表》</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sz w:val="21"/>
                <w:szCs w:val="21"/>
                <w:lang w:eastAsia="zh-CN"/>
              </w:rPr>
              <w:t>《中华人民共和国发票管理办法》（国务院令第587号）</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《中华人民共和国发票管理办法实施细则》（国家税务总局令第25号）</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《国家税务总局关于修改〈中华人民共和国发票管理办法实施细则〉的决定》（国家税务总局令第37号） 《国家税务总局关于纳税人申请代开增值税发票办理流程的公告》（国家税务总局公告2016年第59号）</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《国家税务总局关于红字增值税发票开具有关问题的公告》（国家税务总局公告2016年第47号）</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tcBorders>
              <w:top w:val="single" w:color="auto" w:sz="4" w:space="0"/>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cs="仿宋" w:eastAsiaTheme="minorEastAsia"/>
                <w:color w:val="auto"/>
                <w:kern w:val="2"/>
                <w:sz w:val="28"/>
                <w:szCs w:val="28"/>
                <w:lang w:val="en-US" w:eastAsia="zh-CN" w:bidi="ar-SA"/>
              </w:rPr>
            </w:pPr>
            <w:r>
              <w:rPr>
                <w:rFonts w:hint="eastAsia" w:ascii="仿宋" w:hAnsi="仿宋" w:cs="仿宋" w:eastAsiaTheme="minorEastAsia"/>
                <w:sz w:val="28"/>
                <w:szCs w:val="28"/>
                <w:lang w:eastAsia="zh-CN"/>
              </w:rPr>
              <w:t>个人所得税抵扣情况报告</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280" w:firstLineChars="1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val="en-US" w:eastAsia="zh-CN"/>
              </w:rPr>
              <w:t>公共服务</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sz w:val="21"/>
                <w:szCs w:val="21"/>
                <w:lang w:val="en-US" w:eastAsia="zh-CN"/>
              </w:rPr>
              <w:t>《天使投资个人所得税投资抵扣情况表》，初创科技型企业主管税务机关受理的《天使投资个人所得税投资抵扣备案表》，《合伙创投企业个人所得税投资抵扣情况表》</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sz w:val="21"/>
                <w:szCs w:val="21"/>
                <w:lang w:eastAsia="zh-CN"/>
              </w:rPr>
              <w:t>《财政部国家税务总局关于创业投资企业和天使投资个人有关税收试点政策的通知》（财税〔2017〕38号）</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《关于创业投资企业和天使投资个人税收试点政策有关问题的公告》（国家税务总局公告2017年第20号）</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《国家税务总局关于创业投资企业和天使投资个人税收政策有关问题的公告》（国家税务总局公告 2018 年第 43 号）</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《财政部 税务总局关于创业投资企业和天使投资个人有关税收政策的通知》（财税〔2018〕 55 号）</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tcBorders>
              <w:top w:val="single" w:color="auto" w:sz="4" w:space="0"/>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cs="仿宋" w:eastAsiaTheme="minorEastAsia"/>
                <w:color w:val="auto"/>
                <w:kern w:val="2"/>
                <w:sz w:val="28"/>
                <w:szCs w:val="28"/>
                <w:lang w:val="en-US" w:eastAsia="zh-CN" w:bidi="ar-SA"/>
              </w:rPr>
            </w:pPr>
            <w:r>
              <w:rPr>
                <w:rFonts w:hint="eastAsia" w:ascii="仿宋" w:hAnsi="仿宋" w:cs="仿宋" w:eastAsiaTheme="minorEastAsia"/>
                <w:sz w:val="28"/>
                <w:szCs w:val="28"/>
                <w:lang w:eastAsia="zh-CN"/>
              </w:rPr>
              <w:t>欠税人处置不动产或大额资产报告</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280" w:firstLineChars="1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val="en-US" w:eastAsia="zh-CN"/>
              </w:rPr>
              <w:t>公共服务</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sz w:val="21"/>
                <w:szCs w:val="21"/>
                <w:lang w:val="en-US" w:eastAsia="zh-CN"/>
              </w:rPr>
              <w:t>《欠税人处置不动产或大额资产报告表》，处置不动产或大额资产清单</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sz w:val="21"/>
                <w:szCs w:val="21"/>
                <w:lang w:eastAsia="zh-CN"/>
              </w:rPr>
              <w:t>《中华人民共和国税收征收管理法》（中华人民共和国主席令第49号）</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《中华人民共和国税收征收管理法实施细则》（国务院令第362号）</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tcBorders>
              <w:top w:val="single" w:color="auto" w:sz="4" w:space="0"/>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cs="仿宋" w:eastAsiaTheme="minorEastAsia"/>
                <w:color w:val="auto"/>
                <w:kern w:val="2"/>
                <w:sz w:val="28"/>
                <w:szCs w:val="28"/>
                <w:lang w:val="en-US" w:eastAsia="zh-CN" w:bidi="ar-SA"/>
              </w:rPr>
            </w:pPr>
            <w:r>
              <w:rPr>
                <w:rFonts w:hint="eastAsia" w:ascii="仿宋" w:hAnsi="仿宋" w:cs="仿宋" w:eastAsiaTheme="minorEastAsia"/>
                <w:sz w:val="28"/>
                <w:szCs w:val="28"/>
                <w:lang w:eastAsia="zh-CN"/>
              </w:rPr>
              <w:t>不动产项目报告</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280" w:firstLineChars="1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val="en-US" w:eastAsia="zh-CN"/>
              </w:rPr>
              <w:t>公共服务</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sz w:val="21"/>
                <w:szCs w:val="21"/>
                <w:lang w:val="en-US" w:eastAsia="zh-CN"/>
              </w:rPr>
              <w:t>《不动产项目情况报告表》</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sz w:val="21"/>
                <w:szCs w:val="21"/>
                <w:lang w:eastAsia="zh-CN"/>
              </w:rPr>
              <w:t>《财政部 国家税务总局关于全面推开营业税改征增值税试点的通知》（财税〔2016〕36 号）</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《不动产、建筑业营业税项目管理及发票使用管理暂行办法》（国税发〔2006〕128 号）</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tcBorders>
              <w:top w:val="single" w:color="auto" w:sz="4" w:space="0"/>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cs="仿宋" w:eastAsiaTheme="minorEastAsia"/>
                <w:color w:val="auto"/>
                <w:kern w:val="2"/>
                <w:sz w:val="28"/>
                <w:szCs w:val="28"/>
                <w:lang w:val="en-US" w:eastAsia="zh-CN" w:bidi="ar-SA"/>
              </w:rPr>
            </w:pPr>
            <w:r>
              <w:rPr>
                <w:rFonts w:hint="eastAsia" w:ascii="仿宋" w:hAnsi="仿宋" w:cs="仿宋" w:eastAsiaTheme="minorEastAsia"/>
                <w:sz w:val="28"/>
                <w:szCs w:val="28"/>
                <w:lang w:eastAsia="zh-CN"/>
              </w:rPr>
              <w:t>综合税源信息报告</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280" w:firstLineChars="1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val="en-US" w:eastAsia="zh-CN"/>
              </w:rPr>
              <w:t>公共服务</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sz w:val="21"/>
                <w:szCs w:val="21"/>
                <w:lang w:val="en-US" w:eastAsia="zh-CN"/>
              </w:rPr>
              <w:t>《城镇土地使用税 房产税税源明细表》</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sz w:val="21"/>
                <w:szCs w:val="21"/>
                <w:lang w:eastAsia="zh-CN"/>
              </w:rPr>
              <w:t>《中华人民共和国税收征收管理法》</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《中华人民共和国房产税暂行条例》</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tcBorders>
              <w:top w:val="single" w:color="auto" w:sz="4" w:space="0"/>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cs="仿宋" w:eastAsiaTheme="minorEastAsia"/>
                <w:color w:val="auto"/>
                <w:kern w:val="2"/>
                <w:sz w:val="28"/>
                <w:szCs w:val="28"/>
                <w:lang w:val="en-US" w:eastAsia="zh-CN" w:bidi="ar-SA"/>
              </w:rPr>
            </w:pPr>
            <w:r>
              <w:rPr>
                <w:rFonts w:hint="eastAsia" w:ascii="仿宋" w:hAnsi="仿宋" w:cs="仿宋" w:eastAsiaTheme="minorEastAsia"/>
                <w:sz w:val="28"/>
                <w:szCs w:val="28"/>
                <w:lang w:eastAsia="zh-CN"/>
              </w:rPr>
              <w:t>合伙制创业投资企业单一投资基金核算方式报告</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280" w:firstLineChars="1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val="en-US" w:eastAsia="zh-CN"/>
              </w:rPr>
              <w:t>公共服务</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sz w:val="21"/>
                <w:szCs w:val="21"/>
                <w:lang w:val="en-US" w:eastAsia="zh-CN"/>
              </w:rPr>
              <w:t>《合伙制创业投资企业单一投资基金核算方式备案表》</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sz w:val="21"/>
                <w:szCs w:val="21"/>
                <w:lang w:eastAsia="zh-CN"/>
              </w:rPr>
              <w:t>《关于创业投资企业个人合伙人所得税政策问题的通知》（财税〔2019〕8号）第六条</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tcBorders>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cs="仿宋" w:eastAsiaTheme="minorEastAsia"/>
                <w:color w:val="auto"/>
                <w:kern w:val="2"/>
                <w:sz w:val="28"/>
                <w:szCs w:val="28"/>
                <w:lang w:val="en-US" w:eastAsia="zh-CN" w:bidi="ar-SA"/>
              </w:rPr>
            </w:pPr>
            <w:r>
              <w:rPr>
                <w:rFonts w:hint="eastAsia" w:ascii="仿宋" w:hAnsi="仿宋" w:cs="仿宋" w:eastAsiaTheme="minorEastAsia"/>
                <w:sz w:val="28"/>
                <w:szCs w:val="28"/>
                <w:lang w:eastAsia="zh-CN"/>
              </w:rPr>
              <w:t>个人所得税分期缴纳报告</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280" w:firstLineChars="1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val="en-US" w:eastAsia="zh-CN"/>
              </w:rPr>
              <w:t>公共服务</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sz w:val="21"/>
                <w:szCs w:val="21"/>
                <w:lang w:val="en-US" w:eastAsia="zh-CN"/>
              </w:rPr>
              <w:t>《分期缴纳备案表》</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sz w:val="21"/>
                <w:szCs w:val="21"/>
                <w:lang w:eastAsia="zh-CN"/>
              </w:rPr>
              <w:t>《财政部 国家税务总局关于将国家自主创新示范区有关税收试点政策推广到全国范围实施的通知》（ 财税〔2015〕116号）</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《国家税务总局关于股权奖励和转增股本个人所得税征管问题的公告》（ 国家税务总局公告2015年第80号）</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000000" w:sz="2"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保留</w:t>
            </w:r>
          </w:p>
        </w:tc>
        <w:tc>
          <w:tcPr>
            <w:tcW w:w="2159" w:type="dxa"/>
            <w:tcBorders>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tcBorders>
              <w:top w:val="single" w:color="auto" w:sz="4" w:space="0"/>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cs="仿宋" w:eastAsiaTheme="minorEastAsia"/>
                <w:color w:val="auto"/>
                <w:kern w:val="2"/>
                <w:sz w:val="28"/>
                <w:szCs w:val="28"/>
                <w:lang w:val="en-US" w:eastAsia="zh-CN" w:bidi="ar-SA"/>
              </w:rPr>
            </w:pPr>
            <w:r>
              <w:rPr>
                <w:rFonts w:hint="eastAsia" w:ascii="仿宋" w:hAnsi="仿宋" w:cs="仿宋" w:eastAsiaTheme="minorEastAsia"/>
                <w:sz w:val="28"/>
                <w:szCs w:val="28"/>
                <w:lang w:eastAsia="zh-CN"/>
              </w:rPr>
              <w:t>注销建筑业项目报告</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280" w:firstLineChars="1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val="en-US" w:eastAsia="zh-CN"/>
              </w:rPr>
              <w:t>公共服务</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sz w:val="21"/>
                <w:szCs w:val="21"/>
                <w:lang w:val="en-US" w:eastAsia="zh-CN"/>
              </w:rPr>
              <w:t>《建筑业工程项目情况报告表》，建筑业工程项目竣工结算报告或工程结算报告书复印件</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sz w:val="21"/>
                <w:szCs w:val="21"/>
                <w:lang w:eastAsia="zh-CN"/>
              </w:rPr>
              <w:t>《财政部 国家税务总局关于全面推开营业税改征增值税试点的通知》（财税〔2016〕36 号）</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《不动产、建筑业营业税项目管理及发票使用管理暂行办法》（国税发〔2006〕128 号）</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tcBorders>
              <w:top w:val="single" w:color="auto" w:sz="4" w:space="0"/>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cs="仿宋" w:eastAsiaTheme="minorEastAsia"/>
                <w:color w:val="auto"/>
                <w:kern w:val="2"/>
                <w:sz w:val="28"/>
                <w:szCs w:val="28"/>
                <w:lang w:val="en-US" w:eastAsia="zh-CN" w:bidi="ar-SA"/>
              </w:rPr>
            </w:pPr>
            <w:r>
              <w:rPr>
                <w:rFonts w:hint="eastAsia" w:ascii="仿宋" w:hAnsi="仿宋" w:cs="仿宋" w:eastAsiaTheme="minorEastAsia"/>
                <w:sz w:val="28"/>
                <w:szCs w:val="28"/>
                <w:lang w:eastAsia="zh-CN"/>
              </w:rPr>
              <w:t>注销不动产项目报告</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280" w:firstLineChars="1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val="en-US" w:eastAsia="zh-CN"/>
              </w:rPr>
              <w:t xml:space="preserve">公共服务 </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sz w:val="21"/>
                <w:szCs w:val="21"/>
                <w:lang w:val="en-US" w:eastAsia="zh-CN"/>
              </w:rPr>
              <w:t>《不动产项目情况报告表》</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sz w:val="21"/>
                <w:szCs w:val="21"/>
                <w:lang w:eastAsia="zh-CN"/>
              </w:rPr>
              <w:t>《财政部 国家税务总局关于全面推开营业税改征增值税试点的通知》（财税〔2016〕36 号）</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《不动产、建筑业营业税项目管理及发票使用管理暂行办法》（国税发〔2006〕128 号）</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tcBorders>
              <w:top w:val="single" w:color="auto" w:sz="4" w:space="0"/>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cs="仿宋" w:eastAsiaTheme="minorEastAsia"/>
                <w:color w:val="auto"/>
                <w:kern w:val="2"/>
                <w:sz w:val="28"/>
                <w:szCs w:val="28"/>
                <w:lang w:val="en-US" w:eastAsia="zh-CN" w:bidi="ar-SA"/>
              </w:rPr>
            </w:pPr>
            <w:r>
              <w:rPr>
                <w:rFonts w:hint="eastAsia" w:ascii="仿宋" w:hAnsi="仿宋" w:cs="仿宋" w:eastAsiaTheme="minorEastAsia"/>
                <w:sz w:val="28"/>
                <w:szCs w:val="28"/>
                <w:lang w:eastAsia="zh-CN"/>
              </w:rPr>
              <w:t>个人所得税递延纳税报告</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280" w:firstLineChars="1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val="en-US" w:eastAsia="zh-CN"/>
              </w:rPr>
              <w:t>公共服务</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sz w:val="21"/>
                <w:szCs w:val="21"/>
                <w:lang w:val="en-US" w:eastAsia="zh-CN"/>
              </w:rPr>
              <w:t>《上市公司/非上市公司股权激励个人所得税递延纳税备案表》</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sz w:val="21"/>
                <w:szCs w:val="21"/>
                <w:lang w:eastAsia="zh-CN"/>
              </w:rPr>
              <w:t>《财政部 国家税务总局关于完善股权激励和技术入股有关所得税政策的通知》（财税〔2016〕101号）</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《国家税务总局关于股权激励和技术入股所得税征管问题的公告》（国家税务总局公告2016年第62号）</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tcBorders>
              <w:top w:val="single" w:color="auto" w:sz="4" w:space="0"/>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cs="仿宋" w:eastAsiaTheme="minorEastAsia"/>
                <w:color w:val="auto"/>
                <w:kern w:val="2"/>
                <w:sz w:val="28"/>
                <w:szCs w:val="28"/>
                <w:lang w:val="en-US" w:eastAsia="zh-CN" w:bidi="ar-SA"/>
              </w:rPr>
            </w:pPr>
            <w:r>
              <w:rPr>
                <w:rFonts w:hint="eastAsia" w:ascii="仿宋" w:hAnsi="仿宋" w:cs="仿宋" w:eastAsiaTheme="minorEastAsia"/>
                <w:sz w:val="28"/>
                <w:szCs w:val="28"/>
                <w:lang w:eastAsia="zh-CN"/>
              </w:rPr>
              <w:t>纳税人合并分立情况报告</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280" w:firstLineChars="1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val="en-US" w:eastAsia="zh-CN"/>
              </w:rPr>
              <w:t xml:space="preserve">公共服务 </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sz w:val="21"/>
                <w:szCs w:val="21"/>
                <w:lang w:val="en-US" w:eastAsia="zh-CN"/>
              </w:rPr>
              <w:t>《纳税人合并（分立）情况报告书》，合并、分立的批准文件或企业决议原件</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sz w:val="21"/>
                <w:szCs w:val="21"/>
                <w:lang w:eastAsia="zh-CN"/>
              </w:rPr>
              <w:t>《中华人民共和国税收征收管理法》（中华人民共和国主席令第49号）</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《国家税务总局关于印发〈国家税务局地方税务局涉税信息采集共用管理办法〉的通知》（税总发〔2016〕96号）</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tcBorders>
              <w:top w:val="single" w:color="auto" w:sz="4" w:space="0"/>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cs="仿宋" w:eastAsiaTheme="minorEastAsia"/>
                <w:color w:val="auto"/>
                <w:kern w:val="2"/>
                <w:sz w:val="28"/>
                <w:szCs w:val="28"/>
                <w:lang w:val="en-US" w:eastAsia="zh-CN" w:bidi="ar-SA"/>
              </w:rPr>
            </w:pPr>
            <w:r>
              <w:rPr>
                <w:rFonts w:hint="eastAsia" w:ascii="仿宋" w:hAnsi="仿宋" w:cs="仿宋" w:eastAsiaTheme="minorEastAsia"/>
                <w:sz w:val="28"/>
                <w:szCs w:val="28"/>
                <w:lang w:eastAsia="zh-CN"/>
              </w:rPr>
              <w:t>存款账户账号报告</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280" w:firstLineChars="1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val="en-US" w:eastAsia="zh-CN"/>
              </w:rPr>
              <w:t>公共服务</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sz w:val="21"/>
                <w:szCs w:val="21"/>
                <w:lang w:val="en-US" w:eastAsia="zh-CN"/>
              </w:rPr>
              <w:t>《纳税人存款账户账号报告》，账户、 账号开立材料</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sz w:val="21"/>
                <w:szCs w:val="21"/>
                <w:lang w:eastAsia="zh-CN"/>
              </w:rPr>
              <w:t>《中华人民共和国税收征收管理法》第十七条</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tcBorders>
              <w:top w:val="single" w:color="auto" w:sz="4" w:space="0"/>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cs="仿宋" w:eastAsiaTheme="minorEastAsia"/>
                <w:color w:val="auto"/>
                <w:kern w:val="2"/>
                <w:sz w:val="28"/>
                <w:szCs w:val="28"/>
                <w:lang w:val="en-US" w:eastAsia="zh-CN" w:bidi="ar-SA"/>
              </w:rPr>
            </w:pPr>
            <w:r>
              <w:rPr>
                <w:rFonts w:hint="eastAsia" w:ascii="仿宋" w:hAnsi="仿宋" w:cs="仿宋" w:eastAsiaTheme="minorEastAsia"/>
                <w:sz w:val="28"/>
                <w:szCs w:val="28"/>
                <w:lang w:eastAsia="zh-CN"/>
              </w:rPr>
              <w:t>银税三方（委托）划缴协议</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280" w:firstLineChars="1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val="en-US" w:eastAsia="zh-CN"/>
              </w:rPr>
              <w:t>公共服务</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sz w:val="21"/>
                <w:szCs w:val="21"/>
                <w:lang w:val="en-US" w:eastAsia="zh-CN"/>
              </w:rPr>
              <w:t>《委托银行代缴税款三方协议（委托划转税款协议书）》</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sz w:val="21"/>
                <w:szCs w:val="21"/>
                <w:lang w:eastAsia="zh-CN"/>
              </w:rPr>
              <w:t>《中华人民共和国税收征收管理法》</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《国家税务总局中国人民银行关于规范横向联网系统银行卡缴税业务的通知》（税总发〔2014〕73号）</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《财政部 国家税务总局 中国人民银行关于2016年财税库银税收收入电子缴库横向联网有关工作事项的通知》（财库〔2016〕66号）</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tcBorders>
              <w:top w:val="single" w:color="auto" w:sz="4" w:space="0"/>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cs="仿宋" w:eastAsiaTheme="minorEastAsia"/>
                <w:color w:val="auto"/>
                <w:kern w:val="2"/>
                <w:sz w:val="28"/>
                <w:szCs w:val="28"/>
                <w:lang w:val="en-US" w:eastAsia="zh-CN" w:bidi="ar-SA"/>
              </w:rPr>
            </w:pPr>
            <w:r>
              <w:rPr>
                <w:rFonts w:hint="eastAsia" w:ascii="仿宋" w:hAnsi="仿宋" w:cs="仿宋" w:eastAsiaTheme="minorEastAsia"/>
                <w:sz w:val="28"/>
                <w:szCs w:val="28"/>
                <w:lang w:eastAsia="zh-CN"/>
              </w:rPr>
              <w:t>财务会计制度及核算软件备案报告</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280" w:firstLineChars="1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val="en-US" w:eastAsia="zh-CN"/>
              </w:rPr>
              <w:t>公共服务</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sz w:val="21"/>
                <w:szCs w:val="21"/>
                <w:lang w:val="en-US" w:eastAsia="zh-CN"/>
              </w:rPr>
              <w:t>《财务会计制度及核算软件备案报告》，纳税人财务、会计制度或纳税人财务、会计核算办法</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sz w:val="21"/>
                <w:szCs w:val="21"/>
                <w:lang w:eastAsia="zh-CN"/>
              </w:rPr>
              <w:t>《中华人民共和国税收征收管理法》</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tcBorders>
              <w:top w:val="single" w:color="auto" w:sz="4" w:space="0"/>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cs="仿宋" w:eastAsiaTheme="minorEastAsia"/>
                <w:color w:val="auto"/>
                <w:kern w:val="2"/>
                <w:sz w:val="28"/>
                <w:szCs w:val="28"/>
                <w:lang w:val="en-US" w:eastAsia="zh-CN" w:bidi="ar-SA"/>
              </w:rPr>
            </w:pPr>
            <w:r>
              <w:rPr>
                <w:rFonts w:hint="eastAsia" w:ascii="仿宋" w:hAnsi="仿宋" w:cs="仿宋" w:eastAsiaTheme="minorEastAsia"/>
                <w:sz w:val="28"/>
                <w:szCs w:val="28"/>
                <w:lang w:eastAsia="zh-CN"/>
              </w:rPr>
              <w:t>税务证件增补发</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280" w:firstLineChars="1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val="en-US" w:eastAsia="zh-CN"/>
              </w:rPr>
              <w:t>公共服务</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sz w:val="21"/>
                <w:szCs w:val="21"/>
                <w:lang w:val="en-US" w:eastAsia="zh-CN"/>
              </w:rPr>
              <w:t>税务证件增补发报告</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sz w:val="21"/>
                <w:szCs w:val="21"/>
                <w:lang w:eastAsia="zh-CN"/>
              </w:rPr>
              <w:t>《中华人民共和国发票管理办法》第十五条</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《税务登记管理办法》（国家税务总局令第7号公布，国家税务总局令第36号、第44号、第48号修改）第三十七条</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tcBorders>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cs="仿宋" w:eastAsiaTheme="minorEastAsia"/>
                <w:color w:val="auto"/>
                <w:kern w:val="2"/>
                <w:sz w:val="28"/>
                <w:szCs w:val="28"/>
                <w:lang w:val="en-US" w:eastAsia="zh-CN" w:bidi="ar-SA"/>
              </w:rPr>
            </w:pPr>
            <w:r>
              <w:rPr>
                <w:rFonts w:hint="eastAsia" w:ascii="仿宋" w:hAnsi="仿宋" w:cs="仿宋" w:eastAsiaTheme="minorEastAsia"/>
                <w:sz w:val="28"/>
                <w:szCs w:val="28"/>
                <w:lang w:eastAsia="zh-CN"/>
              </w:rPr>
              <w:t>开具个人所得税纳税记录</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280" w:firstLineChars="1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val="en-US" w:eastAsia="zh-CN"/>
              </w:rPr>
              <w:t>公共服务</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sz w:val="21"/>
                <w:szCs w:val="21"/>
                <w:lang w:val="en-US" w:eastAsia="zh-CN"/>
              </w:rPr>
              <w:t>身份证件（自然人）</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sz w:val="21"/>
                <w:szCs w:val="21"/>
                <w:lang w:eastAsia="zh-CN"/>
              </w:rPr>
              <w:t>《税收票证管理办法》（国家税务总局令第28号）</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《中华人民共和国社会保险法》（中华人民共和国主席令35号）</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《社会保险费征缴暂行条例》（中华人民共和国国务院令第259号）</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《社会保险费申报缴纳管理规定》（中华人民共和国人力资源和社会保障部令第20号）</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《国家税务总局关于试行税务机关向扣缴义务人实行明细申报后的纳税人开具个人所得税完税证明的通知》（国税发〔2005〕8号）</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《国家税务总局关于进一步做好个人所得税完税凭证开具工作的通知》（国税发〔2010〕63号）</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《国家税务总局关于实施〈税收票证管理办法〉若干问题的公告》（国家税务总局公告2013年第34号)</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《国家税务总局关于明确〈税收票证管理办法〉若干问题的通知》（税总函〔2013〕339号）</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《国家税务总局关于证券交易印花税完税凭证有关问题的公告》（国家税务总局公告2014年第60号)</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《国家税务总局关于加快推行办税事项同城通办的通知》（税总发〔2016〕46号）</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《国家税务总局关于跨省经营企业涉税事项全国通办的通知》（税总发〔2017〕102号）</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《国家税务总局关于取消一批涉税事项和报送资料的通知》（税总函〔2017〕403号）</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《国家税务总局关于明确《税收完税证明》（文书式）开具管理有关事项的通知》（税总函〔2018〕628号）</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000000" w:sz="2"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保留</w:t>
            </w:r>
          </w:p>
        </w:tc>
        <w:tc>
          <w:tcPr>
            <w:tcW w:w="2159" w:type="dxa"/>
            <w:tcBorders>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tcBorders>
              <w:top w:val="single" w:color="auto" w:sz="4" w:space="0"/>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cs="仿宋" w:eastAsiaTheme="minorEastAsia"/>
                <w:color w:val="auto"/>
                <w:kern w:val="2"/>
                <w:sz w:val="28"/>
                <w:szCs w:val="28"/>
                <w:lang w:val="en-US" w:eastAsia="zh-CN" w:bidi="ar-SA"/>
              </w:rPr>
            </w:pPr>
            <w:r>
              <w:rPr>
                <w:rFonts w:hint="eastAsia" w:ascii="仿宋" w:hAnsi="仿宋" w:cs="仿宋" w:eastAsiaTheme="minorEastAsia"/>
                <w:sz w:val="28"/>
                <w:szCs w:val="28"/>
                <w:lang w:eastAsia="zh-CN"/>
              </w:rPr>
              <w:t>转开印花税票销售凭证</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280" w:firstLineChars="1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val="en-US" w:eastAsia="zh-CN"/>
              </w:rPr>
              <w:t>公共服务</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sz w:val="21"/>
                <w:szCs w:val="21"/>
                <w:lang w:val="en-US" w:eastAsia="zh-CN"/>
              </w:rPr>
              <w:t>身份证件（自然人）、身份证件原件（自然人）、加载统一社会信用代码的营业执照（或税务登记证、组织机构代码证等）原件（已办理税务登记的纳税人）（未做实名采集纳税人）</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sz w:val="21"/>
                <w:szCs w:val="21"/>
                <w:lang w:eastAsia="zh-CN"/>
              </w:rPr>
              <w:t>《税收票证管理办法》（国家税务总局令第28号）</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《中华人民共和国社会保险法》（中华人民共和国主席令35号）</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《社会保险费征缴暂行条例》（中华人民共和国国务院令第259号）</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《社会保险费申报缴纳管理规定》（中华人民共和国人力资源和社会保障部令第20号）</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《国家税务总局关于试行税务机关向扣缴义务人实行明细申报后的纳税人开具个人所得税完税证明的通知》（国税发〔2005〕8号）</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《国家税务总局关于进一步做好个人所得税完税凭证开具工作的通知》（国税发〔2010〕63号）</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《国家税务总局关于实施〈税收票证管理办法〉若干问题的公告》（国家税务总局公告2013年第34号)</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《国家税务总局关于明确〈税收票证管理办法〉若干问题的通知》（税总函〔2013〕339号）</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《国家税务总局关于证券交易印花税完税凭证有关问题的公告》（国家税务总局公告2014年第60号)</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《国家税务总局关于加快推行办税事项同城通办的通知》（税总发〔2016〕46号）</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《国家税务总局关于跨省经营企业涉税事项全国通办的通知》（税总发〔2017〕102号）</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《国家税务总局关于取消一批涉税事项和报送资料的通知》（税总函〔2017〕403号）</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《国家税务总局关于明确《税收完税证明》（文书式）开具管理有关事项的通知》（税总函〔2018〕628号）</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tcBorders>
              <w:top w:val="single" w:color="auto" w:sz="4" w:space="0"/>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cs="仿宋" w:eastAsiaTheme="minorEastAsia"/>
                <w:color w:val="auto"/>
                <w:kern w:val="2"/>
                <w:sz w:val="28"/>
                <w:szCs w:val="28"/>
                <w:lang w:val="en-US" w:eastAsia="zh-CN" w:bidi="ar-SA"/>
              </w:rPr>
            </w:pPr>
            <w:r>
              <w:rPr>
                <w:rFonts w:hint="eastAsia" w:ascii="仿宋" w:hAnsi="仿宋" w:cs="仿宋" w:eastAsiaTheme="minorEastAsia"/>
                <w:sz w:val="28"/>
                <w:szCs w:val="28"/>
                <w:lang w:eastAsia="zh-CN"/>
              </w:rPr>
              <w:t>非居民企业股权转让适用特殊性税务处理的备案</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280" w:firstLineChars="1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val="en-US" w:eastAsia="zh-CN"/>
              </w:rPr>
              <w:t>公共服务</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sz w:val="21"/>
                <w:szCs w:val="21"/>
                <w:lang w:val="en-US" w:eastAsia="zh-CN"/>
              </w:rPr>
              <w:t>《非居民企业股权转让适用特殊性税务处理备案表》，股权转让业务总体情况说明，应包括股权转让的商业目的、证明股权转让符合特殊性税务处理条件、股权转让前后的公司股权架构图等资料、股权转让业务合同或协议（外文文本的同时附送中文译本）</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sz w:val="21"/>
                <w:szCs w:val="21"/>
                <w:lang w:eastAsia="zh-CN"/>
              </w:rPr>
              <w:t>《财政部　国家税务总局关于企业重组业务企业所得税处理若干问题的通知》（财税〔2009〕59号）</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《国家税务总局关于非居民企业股权转让适用特殊性税务处理有关问题的公告》（国家税务总局公告2013年第72号）</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《财政部 国家税务总局关于促进企业重组有关企业所得税处理问题的通知》（财税〔2014〕109号）</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《国家税务总局关于修改〈非居民企业所得税核定征收管理办法〉等文件的公告》（国家税务总局公告2015年第22号）</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《国家税务总局关于企业重组业务企业所得税征收管理若干问题的公告》（国家税务总局公告2015年第48号）</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《国家税务总局关于修改部分税收规范性文件的公告》（国家税务总局公告2018年第31号）</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tcBorders>
              <w:top w:val="single" w:color="auto" w:sz="4" w:space="0"/>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cs="仿宋" w:eastAsiaTheme="minorEastAsia"/>
                <w:color w:val="auto"/>
                <w:kern w:val="2"/>
                <w:sz w:val="28"/>
                <w:szCs w:val="28"/>
                <w:lang w:val="en-US" w:eastAsia="zh-CN" w:bidi="ar-SA"/>
              </w:rPr>
            </w:pPr>
            <w:r>
              <w:rPr>
                <w:rFonts w:hint="eastAsia" w:ascii="仿宋" w:hAnsi="仿宋" w:cs="仿宋" w:eastAsiaTheme="minorEastAsia"/>
                <w:sz w:val="28"/>
                <w:szCs w:val="28"/>
                <w:lang w:eastAsia="zh-CN"/>
              </w:rPr>
              <w:t>服务贸易等项目对外支付税务备案</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280" w:firstLineChars="1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val="en-US" w:eastAsia="zh-CN"/>
              </w:rPr>
              <w:t>公共服务</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sz w:val="21"/>
                <w:szCs w:val="21"/>
                <w:lang w:val="en-US" w:eastAsia="zh-CN"/>
              </w:rPr>
              <w:t>《服务贸易等项目对外支付税务备案表》，合同（协议）或相关交易凭证</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sz w:val="21"/>
                <w:szCs w:val="21"/>
                <w:lang w:eastAsia="zh-CN"/>
              </w:rPr>
              <w:t>《国家税务总局—国家外汇管理局关于服务贸易等项目对外支付税务备案有关问题的公告》（国家税务总局国家外汇管理局公告2013年第40号）</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《国家税务总局关于修改部分税收规范性文件的公告》（国家税务总局公告2018年第31号 ）</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tcBorders>
              <w:top w:val="single" w:color="auto" w:sz="4" w:space="0"/>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cs="仿宋" w:eastAsiaTheme="minorEastAsia"/>
                <w:sz w:val="28"/>
                <w:szCs w:val="28"/>
                <w:lang w:eastAsia="zh-CN"/>
              </w:rPr>
            </w:pPr>
            <w:r>
              <w:rPr>
                <w:rFonts w:hint="eastAsia" w:ascii="仿宋" w:hAnsi="仿宋" w:cs="仿宋" w:eastAsiaTheme="minorEastAsia"/>
                <w:sz w:val="28"/>
                <w:szCs w:val="28"/>
                <w:lang w:eastAsia="zh-CN"/>
              </w:rPr>
              <w:t>非居民企业间接转让财产事项报告</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cs="仿宋" w:eastAsiaTheme="minorEastAsia"/>
                <w:color w:val="auto"/>
                <w:kern w:val="2"/>
                <w:sz w:val="28"/>
                <w:szCs w:val="28"/>
                <w:lang w:val="en-US" w:eastAsia="zh-CN" w:bidi="ar-SA"/>
              </w:rPr>
            </w:pP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280" w:firstLineChars="1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val="en-US" w:eastAsia="zh-CN"/>
              </w:rPr>
              <w:t>公共服务</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sz w:val="21"/>
                <w:szCs w:val="21"/>
                <w:lang w:val="en-US" w:eastAsia="zh-CN"/>
              </w:rPr>
              <w:t>股权转让合同或协议、 股权转让前后的企业股权架构图、境外企业及直接或间接持有中国应税财产的下属企业上两个年度财务、会计报表、对间接转让中国应税财产交易是否具有合理商业目的</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sz w:val="21"/>
                <w:szCs w:val="21"/>
                <w:lang w:eastAsia="zh-CN"/>
              </w:rPr>
              <w:t>《国家税务总局关于非居民企业间接转让财产企业所得税若干问题的公告》（国家税务总局公告2015年第7号）</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tcBorders>
              <w:top w:val="single" w:color="auto" w:sz="4" w:space="0"/>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cs="仿宋" w:eastAsiaTheme="minorEastAsia"/>
                <w:color w:val="auto"/>
                <w:kern w:val="2"/>
                <w:sz w:val="28"/>
                <w:szCs w:val="28"/>
                <w:lang w:val="en-US" w:eastAsia="zh-CN" w:bidi="ar-SA"/>
              </w:rPr>
            </w:pPr>
            <w:r>
              <w:rPr>
                <w:rFonts w:hint="eastAsia" w:ascii="仿宋" w:hAnsi="仿宋" w:cs="仿宋" w:eastAsiaTheme="minorEastAsia"/>
                <w:sz w:val="28"/>
                <w:szCs w:val="28"/>
                <w:lang w:eastAsia="zh-CN"/>
              </w:rPr>
              <w:t>境内机构和个人支付发包工程作业或劳务项目备案</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280" w:firstLineChars="1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val="en-US" w:eastAsia="zh-CN"/>
              </w:rPr>
              <w:t>公共服务</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sz w:val="21"/>
                <w:szCs w:val="21"/>
                <w:lang w:val="en-US" w:eastAsia="zh-CN"/>
              </w:rPr>
              <w:t>《境内机构和个人发包工程作业或劳务项目报告表》，《非居民项目合同变更情况报告表》</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sz w:val="21"/>
                <w:szCs w:val="21"/>
                <w:lang w:eastAsia="zh-CN"/>
              </w:rPr>
              <w:t>《非居民承包工程作业和提供劳务税收管理暂行办法》(国家税务总局令第19号)</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《关于公布取消一批税务证明事项以及废止和修改部分规章规范性文件的决定》（国家税务总局令第48号）</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tcBorders>
              <w:top w:val="single" w:color="auto" w:sz="4" w:space="0"/>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cs="仿宋" w:eastAsiaTheme="minorEastAsia"/>
                <w:color w:val="auto"/>
                <w:kern w:val="2"/>
                <w:sz w:val="28"/>
                <w:szCs w:val="28"/>
                <w:lang w:val="en-US" w:eastAsia="zh-CN" w:bidi="ar-SA"/>
              </w:rPr>
            </w:pPr>
            <w:r>
              <w:rPr>
                <w:rFonts w:hint="eastAsia" w:ascii="仿宋" w:hAnsi="仿宋" w:cs="仿宋" w:eastAsiaTheme="minorEastAsia"/>
                <w:sz w:val="28"/>
                <w:szCs w:val="28"/>
                <w:lang w:eastAsia="zh-CN"/>
              </w:rPr>
              <w:t>印有本单位名称发票</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280" w:firstLineChars="1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val="en-US" w:eastAsia="zh-CN"/>
              </w:rPr>
              <w:t>行政确认</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sz w:val="21"/>
                <w:szCs w:val="21"/>
                <w:lang w:val="en-US" w:eastAsia="zh-CN"/>
              </w:rPr>
              <w:t>《印有本单位名称发票印制表》</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sz w:val="21"/>
                <w:szCs w:val="21"/>
                <w:lang w:eastAsia="zh-CN"/>
              </w:rPr>
              <w:t>《中华人民共和国发票管理办法》（中华人民共和国国务院令第587号）</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《国家税务总局关于修改〈中华人民共和国发票管理办法实施细则〉的决定》（国家税务总局令第37号）） 《国家税务总局关于简化增值税发票领用和使用程序有关问题的公告》（国家税务总局公告2014年第19号） 《国家税务总局关于全面推行增值税发票系统升级版有关问题的公告》（国家税务总局公告2015年第19号） 《国家税务总局关于增值税普通发票管理有关事项的公告》（国家税务总局公告2017年第44号）</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《国家税务总局关于增值税发票管理若干事项的公告》（国家税务总局公告2017年第45号）</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tcBorders>
              <w:top w:val="single" w:color="auto" w:sz="4" w:space="0"/>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cs="仿宋" w:eastAsiaTheme="minorEastAsia"/>
                <w:color w:val="auto"/>
                <w:kern w:val="2"/>
                <w:sz w:val="28"/>
                <w:szCs w:val="28"/>
                <w:lang w:val="en-US" w:eastAsia="zh-CN" w:bidi="ar-SA"/>
              </w:rPr>
            </w:pPr>
            <w:r>
              <w:rPr>
                <w:rFonts w:hint="eastAsia" w:ascii="仿宋" w:hAnsi="仿宋" w:cs="仿宋" w:eastAsiaTheme="minorEastAsia"/>
                <w:sz w:val="28"/>
                <w:szCs w:val="28"/>
                <w:lang w:eastAsia="zh-CN"/>
              </w:rPr>
              <w:t>发票领用</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280" w:firstLineChars="1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val="en-US" w:eastAsia="zh-CN"/>
              </w:rPr>
              <w:t>公共服务</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sz w:val="21"/>
                <w:szCs w:val="21"/>
                <w:lang w:val="en-US" w:eastAsia="zh-CN"/>
              </w:rPr>
              <w:t>经办人身份证明原件</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sz w:val="21"/>
                <w:szCs w:val="21"/>
                <w:lang w:eastAsia="zh-CN"/>
              </w:rPr>
              <w:t>《中华人民共和国发票管理办法》（国务院令第587号）</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《国家税务总局关于修改〈中华人民共和国发票管理办法实施细则〉的决定》（国家税务总局令第37号）</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《国家税务总局关于简化增值税发票领用和使用程序有关问题的公告》（国家税务总局公告2014年第19号 ）</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《国家税务总局关于发布纳税信用管理办法（试行）的公告》（国家税务总局公告2014年第40号）</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《国家税务总局关于停止使用货物运输业增值税专用发票有关问题的公告》（国家税务总局公告2015年99号）</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《国家税务总局关于按照纳税信用等级对增值税发票使用实行分类管理有关事项的公告》（国家税务总局公告2016年第71号）</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《国家税务总局关于启用增值税普通发票（卷票）有关事项的公告》（国家税务总局公告2016年第82号）</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《国家税务总局关于使用印有本单位名称的增值税普通发票（卷票）有关问题的公告》（国家税务总局公告2017年第9号</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《国家税务总局关于增值税普通发票管理有关事项的公告》（国家税务总局公告2017年第44号）</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《国家税务总局关于增值税发票管理若干事项的公告》（国家税务总局公告2017年第45号）</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《国家税务总局关于全面推行增值税发票网上申领有关问题的通知》（税总函[2016]638号）</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tcBorders>
              <w:top w:val="single" w:color="auto" w:sz="4" w:space="0"/>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cs="仿宋" w:eastAsiaTheme="minorEastAsia"/>
                <w:color w:val="auto"/>
                <w:kern w:val="2"/>
                <w:sz w:val="28"/>
                <w:szCs w:val="28"/>
                <w:lang w:val="en-US" w:eastAsia="zh-CN" w:bidi="ar-SA"/>
              </w:rPr>
            </w:pPr>
            <w:r>
              <w:rPr>
                <w:rFonts w:hint="eastAsia" w:ascii="仿宋" w:hAnsi="仿宋" w:cs="仿宋" w:eastAsiaTheme="minorEastAsia"/>
                <w:sz w:val="28"/>
                <w:szCs w:val="28"/>
                <w:lang w:eastAsia="zh-CN"/>
              </w:rPr>
              <w:t>发票缴销</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280" w:firstLineChars="1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val="en-US" w:eastAsia="zh-CN"/>
              </w:rPr>
              <w:t>公共服务</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sz w:val="21"/>
                <w:szCs w:val="21"/>
                <w:lang w:val="en-US" w:eastAsia="zh-CN"/>
              </w:rPr>
              <w:t>需缴销的发票</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sz w:val="21"/>
                <w:szCs w:val="21"/>
                <w:lang w:eastAsia="zh-CN"/>
              </w:rPr>
              <w:t>《中华人民共和国发票管理办法》（中华人民共和国国务院令第587号）</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《国家税务总局关于修改〈中华人民共和国发票管理办法实施细则〉的决定》（国家税务总局令第37号）</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《国家税务总局国家税务总局关于修改〈税务登记管理办法〉的决定》（国家税务总局令第36号）</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《国家税务总局关于全面推行增值税发票系统升级版有关问题的公告》（国家税务总局公告2015年第19号）</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《国家税务总局关于推行通过增值税电子发票系统开具的增值税电子普通发票有关问题的公告》（国家税务总局公告2015年第84号）</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《国家税务总局关于停止使用货物运输业增值税专用发票有关问题的公告》（国家税务总局公告2015年第99号）</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《国家税务总局关于启用增值税普通发票（卷票）有关事项的公告》（国家税务总局公告2016年第82号）</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tcBorders>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cs="仿宋" w:eastAsiaTheme="minorEastAsia"/>
                <w:color w:val="auto"/>
                <w:kern w:val="2"/>
                <w:sz w:val="28"/>
                <w:szCs w:val="28"/>
                <w:lang w:val="en-US" w:eastAsia="zh-CN" w:bidi="ar-SA"/>
              </w:rPr>
            </w:pPr>
            <w:r>
              <w:rPr>
                <w:rFonts w:hint="eastAsia" w:ascii="仿宋" w:hAnsi="仿宋" w:cs="仿宋" w:eastAsiaTheme="minorEastAsia"/>
                <w:sz w:val="28"/>
                <w:szCs w:val="28"/>
                <w:lang w:eastAsia="zh-CN"/>
              </w:rPr>
              <w:t>增值税税控系统专用设备初始发行</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280" w:firstLineChars="1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val="en-US" w:eastAsia="zh-CN"/>
              </w:rPr>
              <w:t>公共服务</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sz w:val="21"/>
                <w:szCs w:val="21"/>
                <w:lang w:val="en-US" w:eastAsia="zh-CN"/>
              </w:rPr>
              <w:t>金税盘（税控盘）、报税盘，经办人身份证件原件，《税务事项通知书》（发票票种核定通知）或《准予税务行政许可决定书》</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sz w:val="21"/>
                <w:szCs w:val="21"/>
                <w:lang w:eastAsia="zh-CN"/>
              </w:rPr>
            </w:pPr>
            <w:r>
              <w:rPr>
                <w:rFonts w:hint="eastAsia" w:ascii="仿宋" w:hAnsi="仿宋" w:eastAsia="仿宋" w:cs="仿宋"/>
                <w:b w:val="0"/>
                <w:bCs w:val="0"/>
                <w:sz w:val="21"/>
                <w:szCs w:val="21"/>
                <w:lang w:eastAsia="zh-CN"/>
              </w:rPr>
              <w:t>《中华人民共和国税收征收管理法》第二十三条</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《国家税务总局关于修订＆lt;增值税专用发票使用规定＆gt;的通知》（国税发〔2006〕156 号）第三条 《国家税务总局关于全面推行增值税发票系统升级版有关问题的公告》（国家税务总局公告2015 年第19 号） 《国家税务总局关于全面推行增值税发票系统升级版工作有关问题的通知》（税总发〔2015〕42号）</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《国家税务总局关于进一步做好增值税电子普通发票推行工作的指导意见》（税总发〔2017〕31号）</w:t>
            </w: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《国家税务总局关于做好增值税电子普通发票推行所需税控设备管理工作的通知 》（税总函〔2017〕232号）</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top"/>
          </w:tcPr>
          <w:p>
            <w:pPr>
              <w:rPr>
                <w:rFonts w:hint="eastAsia" w:cs="仿宋_GB2312" w:asciiTheme="minorHAnsi" w:hAnsiTheme="minorHAnsi" w:eastAsiaTheme="minorEastAsia"/>
                <w:color w:val="auto"/>
                <w:kern w:val="2"/>
                <w:sz w:val="32"/>
                <w:szCs w:val="32"/>
                <w:vertAlign w:val="baseline"/>
                <w:lang w:val="en-US" w:eastAsia="zh-CN" w:bidi="ar-SA"/>
              </w:rPr>
            </w:pPr>
          </w:p>
        </w:tc>
        <w:tc>
          <w:tcPr>
            <w:tcW w:w="1054" w:type="dxa"/>
            <w:tcBorders>
              <w:top w:val="single" w:color="000000" w:sz="2"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保留</w:t>
            </w:r>
          </w:p>
        </w:tc>
        <w:tc>
          <w:tcPr>
            <w:tcW w:w="2159" w:type="dxa"/>
            <w:tcBorders>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tcBorders>
              <w:top w:val="single" w:color="auto" w:sz="4" w:space="0"/>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cs="仿宋" w:eastAsiaTheme="minorEastAsia"/>
                <w:color w:val="auto"/>
                <w:kern w:val="2"/>
                <w:sz w:val="28"/>
                <w:szCs w:val="28"/>
                <w:lang w:val="en-US" w:eastAsia="zh-CN" w:bidi="ar-SA"/>
              </w:rPr>
            </w:pPr>
            <w:r>
              <w:rPr>
                <w:rFonts w:hint="eastAsia" w:ascii="仿宋" w:hAnsi="仿宋" w:cs="仿宋" w:eastAsiaTheme="minorEastAsia"/>
                <w:sz w:val="28"/>
                <w:szCs w:val="28"/>
                <w:lang w:eastAsia="zh-CN"/>
              </w:rPr>
              <w:t>增值税税控系统专用设备变更发行</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280" w:firstLineChars="1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val="en-US" w:eastAsia="zh-CN"/>
              </w:rPr>
              <w:t>公共服务</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sz w:val="21"/>
                <w:szCs w:val="21"/>
                <w:lang w:val="en-US" w:eastAsia="zh-CN"/>
              </w:rPr>
              <w:t>金税盘（税控盘）、报税盘，经办人身份证件原件，《税务事项通知书》（发票票种核定通知）或《准 予税务行政许可决定书》或《准予变更税务行政许可决定书》</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sz w:val="21"/>
                <w:szCs w:val="21"/>
                <w:lang w:eastAsia="zh-CN"/>
              </w:rPr>
              <w:t>《国家税务总局关于推行增值税发票系统升级版有关问题的公告》（国家税务总局公告2014年第73号）</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《国家税务总局关于推行增值税发票系统升级版工作有关问题的通知》（税总发〔2014〕156号）</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《国家税务总局关于全面推行增值税发票系统升级版有关问题的公告》（国家税务总局公告2015年第19号）</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《国家税务总局关于全面推行增值税发票系统升级版工作有关问题的通知》（税总发〔2015〕42号）</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tcBorders>
              <w:top w:val="single" w:color="auto" w:sz="4" w:space="0"/>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cs="仿宋" w:eastAsiaTheme="minorEastAsia"/>
                <w:color w:val="auto"/>
                <w:kern w:val="2"/>
                <w:sz w:val="28"/>
                <w:szCs w:val="28"/>
                <w:lang w:val="en-US" w:eastAsia="zh-CN" w:bidi="ar-SA"/>
              </w:rPr>
            </w:pPr>
            <w:r>
              <w:rPr>
                <w:rFonts w:hint="eastAsia" w:ascii="仿宋" w:hAnsi="仿宋" w:cs="仿宋" w:eastAsiaTheme="minorEastAsia"/>
                <w:sz w:val="28"/>
                <w:szCs w:val="28"/>
                <w:lang w:eastAsia="zh-CN"/>
              </w:rPr>
              <w:t>增值税税控系统专用设备注销发行</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280" w:firstLineChars="1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val="en-US" w:eastAsia="zh-CN"/>
              </w:rPr>
              <w:t>公共服务</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sz w:val="21"/>
                <w:szCs w:val="21"/>
                <w:lang w:val="en-US" w:eastAsia="zh-CN"/>
              </w:rPr>
              <w:t>增值税税控专用设备[金税盘（税控盘）、报税盘]，经办人身份证件原件，清税申报表（注销申请表）（清税注销时）</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sz w:val="21"/>
                <w:szCs w:val="21"/>
                <w:lang w:eastAsia="zh-CN"/>
              </w:rPr>
              <w:t>《国家税务总局关于推行增值税发票系统升级版有关问题的公告》（国家税务总局公告2014年第73号）</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《国家税务总局关于推行增值税发票系统升级版工作有关问题的通知》（税总发〔2014〕156号）</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《国家税务总局关于全面推行增值税发票系统升级版有关问题的公告》（国家税务总局公告2015年第19号）</w:t>
            </w:r>
            <w:r>
              <w:rPr>
                <w:rFonts w:hint="eastAsia" w:ascii="仿宋" w:hAnsi="仿宋" w:eastAsia="仿宋" w:cs="仿宋"/>
                <w:b w:val="0"/>
                <w:bCs w:val="0"/>
                <w:sz w:val="21"/>
                <w:szCs w:val="21"/>
                <w:lang w:eastAsia="zh-CN"/>
              </w:rPr>
              <w:br w:type="textWrapping"/>
            </w:r>
            <w:r>
              <w:rPr>
                <w:rFonts w:hint="eastAsia" w:ascii="仿宋" w:hAnsi="仿宋" w:eastAsia="仿宋" w:cs="仿宋"/>
                <w:b w:val="0"/>
                <w:bCs w:val="0"/>
                <w:sz w:val="21"/>
                <w:szCs w:val="21"/>
                <w:lang w:eastAsia="zh-CN"/>
              </w:rPr>
              <w:t>《国家税务总局关于全面推行增值税发票系统升级版工作有关问题的通知》（税总发〔2015〕42号）</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trPr>
        <w:tc>
          <w:tcPr>
            <w:tcW w:w="547"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979" w:type="dxa"/>
            <w:tcBorders>
              <w:top w:val="single" w:color="auto" w:sz="4" w:space="0"/>
              <w:left w:val="single" w:color="000000" w:sz="2"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cs="仿宋" w:eastAsiaTheme="minorEastAsia"/>
                <w:color w:val="auto"/>
                <w:kern w:val="2"/>
                <w:sz w:val="28"/>
                <w:szCs w:val="28"/>
                <w:lang w:val="en-US" w:eastAsia="zh-CN" w:bidi="ar-SA"/>
              </w:rPr>
            </w:pPr>
            <w:r>
              <w:rPr>
                <w:rFonts w:hint="eastAsia" w:ascii="仿宋" w:hAnsi="仿宋" w:cs="仿宋" w:eastAsiaTheme="minorEastAsia"/>
                <w:sz w:val="28"/>
                <w:szCs w:val="28"/>
                <w:lang w:eastAsia="zh-CN"/>
              </w:rPr>
              <w:t>退税商店资格信息报告</w:t>
            </w:r>
          </w:p>
        </w:tc>
        <w:tc>
          <w:tcPr>
            <w:tcW w:w="1979" w:type="dxa"/>
            <w:tcBorders>
              <w:top w:val="single" w:color="000000" w:sz="2" w:space="0"/>
              <w:left w:val="single" w:color="auto" w:sz="4" w:space="0"/>
              <w:bottom w:val="single" w:color="000000" w:sz="2"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280" w:firstLineChars="1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val="en-US" w:eastAsia="zh-CN"/>
              </w:rPr>
              <w:t>行政确认</w:t>
            </w:r>
          </w:p>
        </w:tc>
        <w:tc>
          <w:tcPr>
            <w:tcW w:w="1981" w:type="dxa"/>
            <w:tcBorders>
              <w:top w:val="single" w:color="000000" w:sz="2" w:space="0"/>
              <w:left w:val="single" w:color="auto" w:sz="4"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sz w:val="21"/>
                <w:szCs w:val="21"/>
                <w:lang w:val="en-US" w:eastAsia="zh-CN"/>
              </w:rPr>
              <w:t>《境外旅客购物离境退税商店备案表》</w:t>
            </w:r>
          </w:p>
        </w:tc>
        <w:tc>
          <w:tcPr>
            <w:tcW w:w="5381"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sz w:val="21"/>
                <w:szCs w:val="21"/>
                <w:lang w:eastAsia="zh-CN"/>
              </w:rPr>
              <w:t>《国家税务总局关于发布〈境外旅客购物离境退税管理办法（试行）〉的公告》（国家税务总局公告2015年第41号）第二章第四条</w:t>
            </w:r>
          </w:p>
        </w:tc>
        <w:tc>
          <w:tcPr>
            <w:tcW w:w="105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p>
        </w:tc>
        <w:tc>
          <w:tcPr>
            <w:tcW w:w="1054"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保留</w:t>
            </w:r>
          </w:p>
        </w:tc>
        <w:tc>
          <w:tcPr>
            <w:tcW w:w="2159" w:type="dxa"/>
            <w:tcBorders>
              <w:top w:val="single" w:color="auto" w:sz="4" w:space="0"/>
              <w:left w:val="single" w:color="000000" w:sz="2" w:space="0"/>
              <w:bottom w:val="single" w:color="auto" w:sz="4" w:space="0"/>
              <w:right w:val="single" w:color="000000" w:sz="2" w:space="0"/>
            </w:tcBorders>
            <w:noWrap w:val="0"/>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是</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A45A5"/>
    <w:rsid w:val="0156345C"/>
    <w:rsid w:val="01C94719"/>
    <w:rsid w:val="026D6036"/>
    <w:rsid w:val="029D4480"/>
    <w:rsid w:val="032529B9"/>
    <w:rsid w:val="03511CAA"/>
    <w:rsid w:val="044D5325"/>
    <w:rsid w:val="05183D36"/>
    <w:rsid w:val="079717F8"/>
    <w:rsid w:val="08FA321D"/>
    <w:rsid w:val="09786AF8"/>
    <w:rsid w:val="0A075C13"/>
    <w:rsid w:val="0C2D236A"/>
    <w:rsid w:val="0C5F3774"/>
    <w:rsid w:val="0C683FC6"/>
    <w:rsid w:val="0CDA649B"/>
    <w:rsid w:val="0E415AF0"/>
    <w:rsid w:val="108055C7"/>
    <w:rsid w:val="10A778D0"/>
    <w:rsid w:val="13FA2DB6"/>
    <w:rsid w:val="150759C3"/>
    <w:rsid w:val="16B13C33"/>
    <w:rsid w:val="17602EC5"/>
    <w:rsid w:val="1A5408C3"/>
    <w:rsid w:val="1A5B6854"/>
    <w:rsid w:val="1BE76F97"/>
    <w:rsid w:val="1EA112F5"/>
    <w:rsid w:val="1EB6046C"/>
    <w:rsid w:val="1EDB3B6F"/>
    <w:rsid w:val="20D22310"/>
    <w:rsid w:val="212E75AD"/>
    <w:rsid w:val="22104B81"/>
    <w:rsid w:val="227C44F6"/>
    <w:rsid w:val="245F3C49"/>
    <w:rsid w:val="26106545"/>
    <w:rsid w:val="2783100D"/>
    <w:rsid w:val="2818064F"/>
    <w:rsid w:val="29320874"/>
    <w:rsid w:val="2A69583A"/>
    <w:rsid w:val="2B8972C2"/>
    <w:rsid w:val="2C0F45EB"/>
    <w:rsid w:val="2EF24DA3"/>
    <w:rsid w:val="32202B8B"/>
    <w:rsid w:val="327F3F62"/>
    <w:rsid w:val="36005142"/>
    <w:rsid w:val="394D3E2E"/>
    <w:rsid w:val="3ABA7128"/>
    <w:rsid w:val="3BA338C4"/>
    <w:rsid w:val="3BC63948"/>
    <w:rsid w:val="3C152955"/>
    <w:rsid w:val="3E4E256B"/>
    <w:rsid w:val="3F191BD7"/>
    <w:rsid w:val="43A72305"/>
    <w:rsid w:val="43F451F2"/>
    <w:rsid w:val="47581E11"/>
    <w:rsid w:val="47674C57"/>
    <w:rsid w:val="4C590355"/>
    <w:rsid w:val="4D8367EF"/>
    <w:rsid w:val="4DE623E8"/>
    <w:rsid w:val="4E5F65C4"/>
    <w:rsid w:val="4F777ED7"/>
    <w:rsid w:val="52EF6B48"/>
    <w:rsid w:val="54334AED"/>
    <w:rsid w:val="56A5783E"/>
    <w:rsid w:val="57987A57"/>
    <w:rsid w:val="5A5233DE"/>
    <w:rsid w:val="5CC02FFC"/>
    <w:rsid w:val="5EAF7567"/>
    <w:rsid w:val="604E0EC4"/>
    <w:rsid w:val="60EC554F"/>
    <w:rsid w:val="61245885"/>
    <w:rsid w:val="6190334B"/>
    <w:rsid w:val="63093EE9"/>
    <w:rsid w:val="63BE6E18"/>
    <w:rsid w:val="64267C4D"/>
    <w:rsid w:val="65A6585D"/>
    <w:rsid w:val="65C05B0D"/>
    <w:rsid w:val="691F41C2"/>
    <w:rsid w:val="6A356586"/>
    <w:rsid w:val="6A486AA0"/>
    <w:rsid w:val="6B2E6867"/>
    <w:rsid w:val="6D786702"/>
    <w:rsid w:val="6DB2035F"/>
    <w:rsid w:val="6EDD5CA5"/>
    <w:rsid w:val="6F0B6BA1"/>
    <w:rsid w:val="6F703EB4"/>
    <w:rsid w:val="6FDD401D"/>
    <w:rsid w:val="70B32F0B"/>
    <w:rsid w:val="71A35702"/>
    <w:rsid w:val="724A4854"/>
    <w:rsid w:val="7344396E"/>
    <w:rsid w:val="7757506B"/>
    <w:rsid w:val="795E1F99"/>
    <w:rsid w:val="7A0B7139"/>
    <w:rsid w:val="7A516018"/>
    <w:rsid w:val="7BBB1F0F"/>
    <w:rsid w:val="7BEA1B5A"/>
    <w:rsid w:val="7E162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仿宋_GB2312" w:asciiTheme="minorHAnsi" w:hAnsiTheme="minorHAnsi" w:eastAsiaTheme="minorEastAsia"/>
      <w:color w:val="auto"/>
      <w:kern w:val="2"/>
      <w:sz w:val="32"/>
      <w:szCs w:val="3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钱坤</cp:lastModifiedBy>
  <dcterms:modified xsi:type="dcterms:W3CDTF">2021-08-05T02:41:54Z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4DA68963D4A04F2AB1CAA6C6C6281CAC</vt:lpwstr>
  </property>
</Properties>
</file>